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jc w:val="center"/>
        <w:rPr>
          <w:rFonts w:ascii="仿宋_GB2312" w:hAnsi="仿宋_GB2312" w:eastAsia="仿宋_GB2312"/>
          <w:b/>
          <w:snapToGrid w:val="0"/>
          <w:spacing w:val="57"/>
          <w:kern w:val="0"/>
          <w:sz w:val="84"/>
          <w:szCs w:val="84"/>
        </w:rPr>
      </w:pPr>
      <w:r>
        <w:rPr>
          <w:rFonts w:hint="eastAsia" w:ascii="黑体" w:hAnsi="黑体" w:eastAsia="黑体"/>
          <w:bCs/>
          <w:snapToGrid w:val="0"/>
          <w:spacing w:val="57"/>
          <w:kern w:val="21"/>
          <w:sz w:val="96"/>
          <w:szCs w:val="96"/>
        </w:rPr>
        <w:t>招 商 文 件</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tbl>
      <w:tblPr>
        <w:tblStyle w:val="19"/>
        <w:tblW w:w="7471" w:type="dxa"/>
        <w:jc w:val="center"/>
        <w:tblLayout w:type="fixed"/>
        <w:tblCellMar>
          <w:top w:w="0" w:type="dxa"/>
          <w:left w:w="108" w:type="dxa"/>
          <w:bottom w:w="0" w:type="dxa"/>
          <w:right w:w="108" w:type="dxa"/>
        </w:tblCellMar>
      </w:tblPr>
      <w:tblGrid>
        <w:gridCol w:w="2371"/>
        <w:gridCol w:w="5100"/>
      </w:tblGrid>
      <w:tr>
        <w:tblPrEx>
          <w:tblCellMar>
            <w:top w:w="0" w:type="dxa"/>
            <w:left w:w="108" w:type="dxa"/>
            <w:bottom w:w="0" w:type="dxa"/>
            <w:right w:w="108" w:type="dxa"/>
          </w:tblCellMar>
        </w:tblPrEx>
        <w:trPr>
          <w:trHeight w:val="830" w:hRule="atLeast"/>
          <w:jc w:val="center"/>
        </w:trPr>
        <w:tc>
          <w:tcPr>
            <w:tcW w:w="2371" w:type="dxa"/>
          </w:tcPr>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招标项目编号：</w:t>
            </w:r>
          </w:p>
        </w:tc>
        <w:tc>
          <w:tcPr>
            <w:tcW w:w="5100" w:type="dxa"/>
          </w:tcPr>
          <w:p>
            <w:pPr>
              <w:adjustRightInd w:val="0"/>
              <w:snapToGrid w:val="0"/>
              <w:rPr>
                <w:rFonts w:ascii="仿宋_GB2312" w:hAnsi="仿宋_GB2312" w:eastAsia="仿宋_GB2312"/>
                <w:b/>
                <w:sz w:val="32"/>
                <w:szCs w:val="32"/>
              </w:rPr>
            </w:pPr>
          </w:p>
        </w:tc>
      </w:tr>
      <w:tr>
        <w:tblPrEx>
          <w:tblCellMar>
            <w:top w:w="0" w:type="dxa"/>
            <w:left w:w="108" w:type="dxa"/>
            <w:bottom w:w="0" w:type="dxa"/>
            <w:right w:w="108" w:type="dxa"/>
          </w:tblCellMar>
        </w:tblPrEx>
        <w:trPr>
          <w:trHeight w:val="830" w:hRule="atLeast"/>
          <w:jc w:val="center"/>
        </w:trPr>
        <w:tc>
          <w:tcPr>
            <w:tcW w:w="2371" w:type="dxa"/>
          </w:tcPr>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招标项目名称：</w:t>
            </w:r>
          </w:p>
        </w:tc>
        <w:tc>
          <w:tcPr>
            <w:tcW w:w="5100" w:type="dxa"/>
          </w:tcPr>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景州文体中心电影场馆委托运营服务项目</w:t>
            </w:r>
          </w:p>
        </w:tc>
      </w:tr>
      <w:tr>
        <w:tblPrEx>
          <w:tblCellMar>
            <w:top w:w="0" w:type="dxa"/>
            <w:left w:w="108" w:type="dxa"/>
            <w:bottom w:w="0" w:type="dxa"/>
            <w:right w:w="108" w:type="dxa"/>
          </w:tblCellMar>
        </w:tblPrEx>
        <w:trPr>
          <w:trHeight w:val="828" w:hRule="atLeast"/>
          <w:jc w:val="center"/>
        </w:trPr>
        <w:tc>
          <w:tcPr>
            <w:tcW w:w="2371" w:type="dxa"/>
          </w:tcPr>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招   标   人：</w:t>
            </w:r>
          </w:p>
        </w:tc>
        <w:tc>
          <w:tcPr>
            <w:tcW w:w="5100" w:type="dxa"/>
          </w:tcPr>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景县景州仲舒文体中心有限责任公司</w:t>
            </w:r>
          </w:p>
        </w:tc>
      </w:tr>
      <w:tr>
        <w:tblPrEx>
          <w:tblCellMar>
            <w:top w:w="0" w:type="dxa"/>
            <w:left w:w="108" w:type="dxa"/>
            <w:bottom w:w="0" w:type="dxa"/>
            <w:right w:w="108" w:type="dxa"/>
          </w:tblCellMar>
        </w:tblPrEx>
        <w:trPr>
          <w:trHeight w:val="828" w:hRule="atLeast"/>
          <w:jc w:val="center"/>
        </w:trPr>
        <w:tc>
          <w:tcPr>
            <w:tcW w:w="2371" w:type="dxa"/>
          </w:tcPr>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招 标 代 理 机 构：</w:t>
            </w:r>
          </w:p>
        </w:tc>
        <w:tc>
          <w:tcPr>
            <w:tcW w:w="5100" w:type="dxa"/>
          </w:tcPr>
          <w:p>
            <w:pPr>
              <w:adjustRightInd w:val="0"/>
              <w:snapToGrid w:val="0"/>
              <w:rPr>
                <w:rFonts w:ascii="仿宋_GB2312" w:hAnsi="仿宋_GB2312" w:eastAsia="仿宋_GB2312"/>
                <w:b/>
                <w:sz w:val="32"/>
                <w:szCs w:val="32"/>
              </w:rPr>
            </w:pPr>
          </w:p>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河北建工物流有限公司</w:t>
            </w:r>
          </w:p>
        </w:tc>
      </w:tr>
      <w:tr>
        <w:tblPrEx>
          <w:tblCellMar>
            <w:top w:w="0" w:type="dxa"/>
            <w:left w:w="108" w:type="dxa"/>
            <w:bottom w:w="0" w:type="dxa"/>
            <w:right w:w="108" w:type="dxa"/>
          </w:tblCellMar>
        </w:tblPrEx>
        <w:trPr>
          <w:trHeight w:val="828" w:hRule="atLeast"/>
          <w:jc w:val="center"/>
        </w:trPr>
        <w:tc>
          <w:tcPr>
            <w:tcW w:w="2371" w:type="dxa"/>
          </w:tcPr>
          <w:p>
            <w:pPr>
              <w:adjustRightInd w:val="0"/>
              <w:snapToGrid w:val="0"/>
              <w:jc w:val="distribute"/>
              <w:rPr>
                <w:rFonts w:ascii="仿宋_GB2312" w:hAnsi="仿宋_GB2312" w:eastAsia="仿宋_GB2312"/>
                <w:b/>
                <w:sz w:val="32"/>
                <w:szCs w:val="32"/>
              </w:rPr>
            </w:pPr>
          </w:p>
          <w:p>
            <w:pPr>
              <w:adjustRightInd w:val="0"/>
              <w:snapToGrid w:val="0"/>
              <w:jc w:val="distribute"/>
              <w:rPr>
                <w:rFonts w:ascii="仿宋_GB2312" w:hAnsi="仿宋_GB2312" w:eastAsia="仿宋_GB2312"/>
                <w:b/>
                <w:sz w:val="32"/>
                <w:szCs w:val="32"/>
              </w:rPr>
            </w:pPr>
            <w:r>
              <w:rPr>
                <w:rFonts w:hint="eastAsia" w:ascii="仿宋_GB2312" w:hAnsi="仿宋_GB2312" w:eastAsia="仿宋_GB2312"/>
                <w:b/>
                <w:sz w:val="32"/>
                <w:szCs w:val="32"/>
              </w:rPr>
              <w:t>招  商 时 间：</w:t>
            </w:r>
          </w:p>
        </w:tc>
        <w:tc>
          <w:tcPr>
            <w:tcW w:w="5100" w:type="dxa"/>
            <w:vAlign w:val="center"/>
          </w:tcPr>
          <w:p>
            <w:pPr>
              <w:adjustRightInd w:val="0"/>
              <w:snapToGrid w:val="0"/>
              <w:rPr>
                <w:rFonts w:ascii="仿宋_GB2312" w:hAnsi="仿宋_GB2312" w:eastAsia="仿宋_GB2312"/>
                <w:b/>
                <w:sz w:val="32"/>
                <w:szCs w:val="32"/>
              </w:rPr>
            </w:pPr>
          </w:p>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二〇二〇年四月</w:t>
            </w:r>
          </w:p>
        </w:tc>
      </w:tr>
    </w:tbl>
    <w:p>
      <w:pPr>
        <w:spacing w:line="440" w:lineRule="exact"/>
      </w:pPr>
    </w:p>
    <w:p>
      <w:pPr>
        <w:sectPr>
          <w:headerReference r:id="rId3" w:type="default"/>
          <w:headerReference r:id="rId4" w:type="even"/>
          <w:footerReference r:id="rId5" w:type="even"/>
          <w:pgSz w:w="11906" w:h="16838"/>
          <w:pgMar w:top="1440" w:right="1349" w:bottom="1440" w:left="1463" w:header="850" w:footer="992" w:gutter="0"/>
          <w:pgNumType w:start="1"/>
          <w:cols w:space="0" w:num="1"/>
          <w:docGrid w:type="lines" w:linePitch="312" w:charSpace="0"/>
        </w:sectPr>
      </w:pPr>
    </w:p>
    <w:p>
      <w:pPr>
        <w:spacing w:line="400" w:lineRule="exact"/>
        <w:jc w:val="center"/>
        <w:rPr>
          <w:rFonts w:ascii="仿宋_GB2312" w:eastAsia="仿宋_GB2312"/>
          <w:sz w:val="28"/>
          <w:szCs w:val="28"/>
        </w:rPr>
      </w:pPr>
    </w:p>
    <w:p>
      <w:pPr>
        <w:spacing w:line="440" w:lineRule="exact"/>
      </w:pPr>
      <w:bookmarkStart w:id="0" w:name="_Toc144974478"/>
      <w:bookmarkStart w:id="1" w:name="_Toc152042286"/>
    </w:p>
    <w:bookmarkEnd w:id="0"/>
    <w:bookmarkEnd w:id="1"/>
    <w:p>
      <w:pPr>
        <w:spacing w:line="440" w:lineRule="exact"/>
        <w:jc w:val="center"/>
        <w:rPr>
          <w:sz w:val="44"/>
          <w:szCs w:val="44"/>
        </w:rPr>
      </w:pPr>
      <w:bookmarkStart w:id="2" w:name="_Toc246996898"/>
      <w:bookmarkStart w:id="3" w:name="_Toc296602400"/>
      <w:bookmarkStart w:id="4" w:name="_Toc247085669"/>
      <w:bookmarkStart w:id="5" w:name="_Toc247085670"/>
      <w:bookmarkStart w:id="6" w:name="_Toc246996899"/>
      <w:bookmarkStart w:id="7" w:name="_Toc246996156"/>
      <w:r>
        <w:rPr>
          <w:rFonts w:hint="eastAsia"/>
          <w:sz w:val="44"/>
          <w:szCs w:val="44"/>
        </w:rPr>
        <w:t>目录</w:t>
      </w:r>
      <w:bookmarkEnd w:id="2"/>
      <w:bookmarkEnd w:id="3"/>
      <w:bookmarkEnd w:id="4"/>
    </w:p>
    <w:p>
      <w:pPr>
        <w:spacing w:line="440" w:lineRule="exact"/>
        <w:jc w:val="center"/>
        <w:rPr>
          <w:sz w:val="44"/>
          <w:szCs w:val="44"/>
        </w:rPr>
      </w:pPr>
    </w:p>
    <w:bookmarkEnd w:id="5"/>
    <w:bookmarkEnd w:id="6"/>
    <w:bookmarkEnd w:id="7"/>
    <w:p>
      <w:pPr>
        <w:pStyle w:val="16"/>
        <w:tabs>
          <w:tab w:val="right" w:leader="dot" w:pos="10350"/>
        </w:tabs>
      </w:pPr>
      <w:bookmarkStart w:id="8" w:name="_Toc247085671"/>
      <w:bookmarkStart w:id="9" w:name="_Toc247096243"/>
      <w:bookmarkStart w:id="10" w:name="_Toc246996157"/>
      <w:bookmarkStart w:id="11" w:name="_Toc246996900"/>
      <w:r>
        <w:rPr>
          <w:rFonts w:ascii="宋体" w:hAnsi="宋体" w:cs="宋体"/>
          <w:sz w:val="44"/>
          <w:szCs w:val="44"/>
        </w:rPr>
        <w:fldChar w:fldCharType="begin"/>
      </w:r>
      <w:r>
        <w:rPr>
          <w:rFonts w:ascii="宋体" w:hAnsi="宋体" w:cs="宋体"/>
          <w:sz w:val="44"/>
          <w:szCs w:val="44"/>
        </w:rPr>
        <w:instrText xml:space="preserve">TOC \o "1-2" \h \u </w:instrText>
      </w:r>
      <w:r>
        <w:rPr>
          <w:rFonts w:ascii="宋体" w:hAnsi="宋体" w:cs="宋体"/>
          <w:sz w:val="44"/>
          <w:szCs w:val="44"/>
        </w:rPr>
        <w:fldChar w:fldCharType="separate"/>
      </w:r>
      <w:r>
        <w:fldChar w:fldCharType="begin"/>
      </w:r>
      <w:r>
        <w:instrText xml:space="preserve"> HYPERLINK \l "_Toc29620" </w:instrText>
      </w:r>
      <w:r>
        <w:fldChar w:fldCharType="separate"/>
      </w:r>
      <w:r>
        <w:rPr>
          <w:rFonts w:hint="eastAsia"/>
        </w:rPr>
        <w:t>第一章招商公告</w:t>
      </w:r>
      <w:r>
        <w:tab/>
      </w:r>
      <w:r>
        <w:fldChar w:fldCharType="begin"/>
      </w:r>
      <w:r>
        <w:instrText xml:space="preserve"> PAGEREF _Toc29620 </w:instrText>
      </w:r>
      <w:r>
        <w:fldChar w:fldCharType="separate"/>
      </w:r>
      <w:r>
        <w:t>1</w:t>
      </w:r>
      <w:r>
        <w:fldChar w:fldCharType="end"/>
      </w:r>
      <w:r>
        <w:fldChar w:fldCharType="end"/>
      </w:r>
    </w:p>
    <w:p>
      <w:pPr>
        <w:pStyle w:val="17"/>
        <w:tabs>
          <w:tab w:val="right" w:leader="dot" w:pos="10350"/>
        </w:tabs>
      </w:pPr>
      <w:r>
        <w:fldChar w:fldCharType="begin"/>
      </w:r>
      <w:r>
        <w:instrText xml:space="preserve"> HYPERLINK \l "_Toc24212" </w:instrText>
      </w:r>
      <w:r>
        <w:fldChar w:fldCharType="separate"/>
      </w:r>
      <w:r>
        <w:rPr>
          <w:szCs w:val="28"/>
        </w:rPr>
        <w:t xml:space="preserve">1. </w:t>
      </w:r>
      <w:r>
        <w:rPr>
          <w:rFonts w:hint="eastAsia"/>
          <w:szCs w:val="28"/>
        </w:rPr>
        <w:t>招标条件</w:t>
      </w:r>
      <w:r>
        <w:tab/>
      </w:r>
      <w:r>
        <w:fldChar w:fldCharType="begin"/>
      </w:r>
      <w:r>
        <w:instrText xml:space="preserve"> PAGEREF _Toc24212 </w:instrText>
      </w:r>
      <w:r>
        <w:fldChar w:fldCharType="separate"/>
      </w:r>
      <w:r>
        <w:t>2</w:t>
      </w:r>
      <w:r>
        <w:fldChar w:fldCharType="end"/>
      </w:r>
      <w:r>
        <w:fldChar w:fldCharType="end"/>
      </w:r>
    </w:p>
    <w:p>
      <w:pPr>
        <w:pStyle w:val="17"/>
        <w:tabs>
          <w:tab w:val="right" w:leader="dot" w:pos="10350"/>
        </w:tabs>
      </w:pPr>
      <w:r>
        <w:fldChar w:fldCharType="begin"/>
      </w:r>
      <w:r>
        <w:instrText xml:space="preserve"> HYPERLINK \l "_Toc30331" </w:instrText>
      </w:r>
      <w:r>
        <w:fldChar w:fldCharType="separate"/>
      </w:r>
      <w:r>
        <w:rPr>
          <w:rFonts w:hint="eastAsia"/>
          <w:szCs w:val="28"/>
        </w:rPr>
        <w:t>2</w:t>
      </w:r>
      <w:r>
        <w:rPr>
          <w:rFonts w:hint="eastAsia"/>
        </w:rPr>
        <w:t xml:space="preserve">. </w:t>
      </w:r>
      <w:r>
        <w:rPr>
          <w:rFonts w:hint="eastAsia"/>
          <w:szCs w:val="28"/>
        </w:rPr>
        <w:t>项目概况与招标范围</w:t>
      </w:r>
      <w:r>
        <w:tab/>
      </w:r>
      <w:r>
        <w:fldChar w:fldCharType="begin"/>
      </w:r>
      <w:r>
        <w:instrText xml:space="preserve"> PAGEREF _Toc30331 </w:instrText>
      </w:r>
      <w:r>
        <w:fldChar w:fldCharType="separate"/>
      </w:r>
      <w:r>
        <w:t>2</w:t>
      </w:r>
      <w:r>
        <w:fldChar w:fldCharType="end"/>
      </w:r>
      <w:r>
        <w:fldChar w:fldCharType="end"/>
      </w:r>
    </w:p>
    <w:p>
      <w:pPr>
        <w:pStyle w:val="17"/>
        <w:tabs>
          <w:tab w:val="right" w:leader="dot" w:pos="10350"/>
        </w:tabs>
      </w:pPr>
      <w:r>
        <w:fldChar w:fldCharType="begin"/>
      </w:r>
      <w:r>
        <w:instrText xml:space="preserve"> HYPERLINK \l "_Toc3677" </w:instrText>
      </w:r>
      <w:r>
        <w:fldChar w:fldCharType="separate"/>
      </w:r>
      <w:r>
        <w:rPr>
          <w:rFonts w:hint="eastAsia"/>
          <w:szCs w:val="28"/>
        </w:rPr>
        <w:t>3. 投标人资格要求</w:t>
      </w:r>
      <w:r>
        <w:tab/>
      </w:r>
      <w:r>
        <w:fldChar w:fldCharType="begin"/>
      </w:r>
      <w:r>
        <w:instrText xml:space="preserve"> PAGEREF _Toc3677 </w:instrText>
      </w:r>
      <w:r>
        <w:fldChar w:fldCharType="separate"/>
      </w:r>
      <w:r>
        <w:t>2</w:t>
      </w:r>
      <w:r>
        <w:fldChar w:fldCharType="end"/>
      </w:r>
      <w:r>
        <w:fldChar w:fldCharType="end"/>
      </w:r>
    </w:p>
    <w:p>
      <w:pPr>
        <w:pStyle w:val="17"/>
        <w:tabs>
          <w:tab w:val="right" w:leader="dot" w:pos="10350"/>
        </w:tabs>
      </w:pPr>
      <w:r>
        <w:fldChar w:fldCharType="begin"/>
      </w:r>
      <w:r>
        <w:instrText xml:space="preserve"> HYPERLINK \l "_Toc11365" </w:instrText>
      </w:r>
      <w:r>
        <w:fldChar w:fldCharType="separate"/>
      </w:r>
      <w:r>
        <w:rPr>
          <w:rFonts w:hint="eastAsia"/>
          <w:szCs w:val="28"/>
        </w:rPr>
        <w:t>4</w:t>
      </w:r>
      <w:r>
        <w:rPr>
          <w:rFonts w:hint="eastAsia"/>
        </w:rPr>
        <w:t xml:space="preserve">. </w:t>
      </w:r>
      <w:r>
        <w:rPr>
          <w:rFonts w:hint="eastAsia"/>
          <w:szCs w:val="28"/>
        </w:rPr>
        <w:t>招标文件发售及资格审查</w:t>
      </w:r>
      <w:r>
        <w:tab/>
      </w:r>
      <w:r>
        <w:fldChar w:fldCharType="begin"/>
      </w:r>
      <w:r>
        <w:instrText xml:space="preserve"> PAGEREF _Toc11365 </w:instrText>
      </w:r>
      <w:r>
        <w:fldChar w:fldCharType="separate"/>
      </w:r>
      <w:r>
        <w:t>2</w:t>
      </w:r>
      <w:r>
        <w:fldChar w:fldCharType="end"/>
      </w:r>
      <w:r>
        <w:fldChar w:fldCharType="end"/>
      </w:r>
    </w:p>
    <w:p>
      <w:pPr>
        <w:pStyle w:val="17"/>
        <w:tabs>
          <w:tab w:val="right" w:leader="dot" w:pos="10350"/>
        </w:tabs>
      </w:pPr>
      <w:r>
        <w:fldChar w:fldCharType="begin"/>
      </w:r>
      <w:r>
        <w:instrText xml:space="preserve"> HYPERLINK \l "_Toc21495" </w:instrText>
      </w:r>
      <w:r>
        <w:fldChar w:fldCharType="separate"/>
      </w:r>
      <w:r>
        <w:rPr>
          <w:rFonts w:hint="eastAsia"/>
          <w:szCs w:val="28"/>
        </w:rPr>
        <w:t>5</w:t>
      </w:r>
      <w:r>
        <w:rPr>
          <w:rFonts w:hint="eastAsia"/>
        </w:rPr>
        <w:t xml:space="preserve">. </w:t>
      </w:r>
      <w:r>
        <w:rPr>
          <w:rFonts w:hint="eastAsia"/>
          <w:szCs w:val="28"/>
        </w:rPr>
        <w:t>合格投标人名单公布</w:t>
      </w:r>
      <w:r>
        <w:tab/>
      </w:r>
      <w:r>
        <w:fldChar w:fldCharType="begin"/>
      </w:r>
      <w:r>
        <w:instrText xml:space="preserve"> PAGEREF _Toc21495 </w:instrText>
      </w:r>
      <w:r>
        <w:fldChar w:fldCharType="separate"/>
      </w:r>
      <w:r>
        <w:t>3</w:t>
      </w:r>
      <w:r>
        <w:fldChar w:fldCharType="end"/>
      </w:r>
      <w:r>
        <w:fldChar w:fldCharType="end"/>
      </w:r>
    </w:p>
    <w:p>
      <w:pPr>
        <w:pStyle w:val="17"/>
        <w:tabs>
          <w:tab w:val="right" w:leader="dot" w:pos="10350"/>
        </w:tabs>
      </w:pPr>
      <w:r>
        <w:fldChar w:fldCharType="begin"/>
      </w:r>
      <w:r>
        <w:instrText xml:space="preserve"> HYPERLINK \l "_Toc51" </w:instrText>
      </w:r>
      <w:r>
        <w:fldChar w:fldCharType="separate"/>
      </w:r>
      <w:r>
        <w:rPr>
          <w:szCs w:val="28"/>
        </w:rPr>
        <w:t xml:space="preserve">6. </w:t>
      </w:r>
      <w:r>
        <w:rPr>
          <w:rFonts w:hint="eastAsia"/>
          <w:szCs w:val="28"/>
        </w:rPr>
        <w:t>开标时间</w:t>
      </w:r>
      <w:r>
        <w:tab/>
      </w:r>
      <w:r>
        <w:fldChar w:fldCharType="begin"/>
      </w:r>
      <w:r>
        <w:instrText xml:space="preserve"> PAGEREF _Toc51 </w:instrText>
      </w:r>
      <w:r>
        <w:fldChar w:fldCharType="separate"/>
      </w:r>
      <w:r>
        <w:t>3</w:t>
      </w:r>
      <w:r>
        <w:fldChar w:fldCharType="end"/>
      </w:r>
      <w:r>
        <w:fldChar w:fldCharType="end"/>
      </w:r>
    </w:p>
    <w:p>
      <w:pPr>
        <w:pStyle w:val="17"/>
        <w:tabs>
          <w:tab w:val="right" w:leader="dot" w:pos="10350"/>
        </w:tabs>
      </w:pPr>
      <w:r>
        <w:fldChar w:fldCharType="begin"/>
      </w:r>
      <w:r>
        <w:instrText xml:space="preserve"> HYPERLINK \l "_Toc23250" </w:instrText>
      </w:r>
      <w:r>
        <w:fldChar w:fldCharType="separate"/>
      </w:r>
      <w:r>
        <w:rPr>
          <w:rFonts w:hint="eastAsia"/>
          <w:szCs w:val="28"/>
        </w:rPr>
        <w:t>7</w:t>
      </w:r>
      <w:r>
        <w:rPr>
          <w:rFonts w:hint="eastAsia"/>
        </w:rPr>
        <w:t xml:space="preserve">. </w:t>
      </w:r>
      <w:r>
        <w:rPr>
          <w:rFonts w:hint="eastAsia"/>
          <w:szCs w:val="28"/>
        </w:rPr>
        <w:t>开标地点</w:t>
      </w:r>
      <w:r>
        <w:tab/>
      </w:r>
      <w:r>
        <w:fldChar w:fldCharType="begin"/>
      </w:r>
      <w:r>
        <w:instrText xml:space="preserve"> PAGEREF _Toc23250 </w:instrText>
      </w:r>
      <w:r>
        <w:fldChar w:fldCharType="separate"/>
      </w:r>
      <w:r>
        <w:t>3</w:t>
      </w:r>
      <w:r>
        <w:fldChar w:fldCharType="end"/>
      </w:r>
      <w:r>
        <w:fldChar w:fldCharType="end"/>
      </w:r>
    </w:p>
    <w:p>
      <w:pPr>
        <w:pStyle w:val="17"/>
        <w:tabs>
          <w:tab w:val="right" w:leader="dot" w:pos="10350"/>
        </w:tabs>
      </w:pPr>
      <w:r>
        <w:fldChar w:fldCharType="begin"/>
      </w:r>
      <w:r>
        <w:instrText xml:space="preserve"> HYPERLINK \l "_Toc5229" </w:instrText>
      </w:r>
      <w:r>
        <w:fldChar w:fldCharType="separate"/>
      </w:r>
      <w:r>
        <w:rPr>
          <w:rFonts w:hint="eastAsia"/>
          <w:szCs w:val="28"/>
        </w:rPr>
        <w:t>8</w:t>
      </w:r>
      <w:r>
        <w:rPr>
          <w:rFonts w:hint="eastAsia"/>
        </w:rPr>
        <w:t xml:space="preserve">. </w:t>
      </w:r>
      <w:r>
        <w:rPr>
          <w:rFonts w:hint="eastAsia"/>
          <w:szCs w:val="28"/>
        </w:rPr>
        <w:t>联系方式</w:t>
      </w:r>
      <w:r>
        <w:tab/>
      </w:r>
      <w:r>
        <w:fldChar w:fldCharType="begin"/>
      </w:r>
      <w:r>
        <w:instrText xml:space="preserve"> PAGEREF _Toc5229 </w:instrText>
      </w:r>
      <w:r>
        <w:fldChar w:fldCharType="separate"/>
      </w:r>
      <w:r>
        <w:t>3</w:t>
      </w:r>
      <w:r>
        <w:fldChar w:fldCharType="end"/>
      </w:r>
      <w:r>
        <w:fldChar w:fldCharType="end"/>
      </w:r>
    </w:p>
    <w:p>
      <w:pPr>
        <w:pStyle w:val="16"/>
        <w:tabs>
          <w:tab w:val="right" w:leader="dot" w:pos="10350"/>
        </w:tabs>
      </w:pPr>
      <w:r>
        <w:fldChar w:fldCharType="begin"/>
      </w:r>
      <w:r>
        <w:instrText xml:space="preserve"> HYPERLINK \l "_Toc5353" </w:instrText>
      </w:r>
      <w:r>
        <w:fldChar w:fldCharType="separate"/>
      </w:r>
      <w:r>
        <w:rPr>
          <w:rFonts w:hint="eastAsia"/>
        </w:rPr>
        <w:t>第二章投标人须知</w:t>
      </w:r>
      <w:r>
        <w:tab/>
      </w:r>
      <w:r>
        <w:fldChar w:fldCharType="begin"/>
      </w:r>
      <w:r>
        <w:instrText xml:space="preserve"> PAGEREF _Toc5353 </w:instrText>
      </w:r>
      <w:r>
        <w:fldChar w:fldCharType="separate"/>
      </w:r>
      <w:r>
        <w:t>4</w:t>
      </w:r>
      <w:r>
        <w:fldChar w:fldCharType="end"/>
      </w:r>
      <w:r>
        <w:fldChar w:fldCharType="end"/>
      </w:r>
    </w:p>
    <w:p>
      <w:pPr>
        <w:pStyle w:val="17"/>
        <w:tabs>
          <w:tab w:val="right" w:leader="dot" w:pos="10350"/>
        </w:tabs>
      </w:pPr>
      <w:r>
        <w:fldChar w:fldCharType="begin"/>
      </w:r>
      <w:r>
        <w:instrText xml:space="preserve"> HYPERLINK \l "_Toc11904" </w:instrText>
      </w:r>
      <w:r>
        <w:fldChar w:fldCharType="separate"/>
      </w:r>
      <w:r>
        <w:rPr>
          <w:rFonts w:hint="eastAsia"/>
        </w:rPr>
        <w:t>投标人须知前附表</w:t>
      </w:r>
      <w:r>
        <w:tab/>
      </w:r>
      <w:r>
        <w:fldChar w:fldCharType="begin"/>
      </w:r>
      <w:r>
        <w:instrText xml:space="preserve"> PAGEREF _Toc11904 </w:instrText>
      </w:r>
      <w:r>
        <w:fldChar w:fldCharType="separate"/>
      </w:r>
      <w:r>
        <w:t>5</w:t>
      </w:r>
      <w:r>
        <w:fldChar w:fldCharType="end"/>
      </w:r>
      <w:r>
        <w:fldChar w:fldCharType="end"/>
      </w:r>
    </w:p>
    <w:p>
      <w:pPr>
        <w:pStyle w:val="17"/>
        <w:tabs>
          <w:tab w:val="right" w:leader="dot" w:pos="10350"/>
        </w:tabs>
      </w:pPr>
      <w:r>
        <w:fldChar w:fldCharType="begin"/>
      </w:r>
      <w:r>
        <w:instrText xml:space="preserve"> HYPERLINK \l "_Toc26567" </w:instrText>
      </w:r>
      <w:r>
        <w:fldChar w:fldCharType="separate"/>
      </w:r>
      <w:r>
        <w:rPr>
          <w:rFonts w:hint="eastAsia"/>
        </w:rPr>
        <w:t>1. 总则</w:t>
      </w:r>
      <w:r>
        <w:tab/>
      </w:r>
      <w:r>
        <w:fldChar w:fldCharType="begin"/>
      </w:r>
      <w:r>
        <w:instrText xml:space="preserve"> PAGEREF _Toc26567 </w:instrText>
      </w:r>
      <w:r>
        <w:fldChar w:fldCharType="separate"/>
      </w:r>
      <w:r>
        <w:t>8</w:t>
      </w:r>
      <w:r>
        <w:fldChar w:fldCharType="end"/>
      </w:r>
      <w:r>
        <w:fldChar w:fldCharType="end"/>
      </w:r>
    </w:p>
    <w:p>
      <w:pPr>
        <w:pStyle w:val="17"/>
        <w:tabs>
          <w:tab w:val="right" w:leader="dot" w:pos="10350"/>
        </w:tabs>
      </w:pPr>
      <w:r>
        <w:fldChar w:fldCharType="begin"/>
      </w:r>
      <w:r>
        <w:instrText xml:space="preserve"> HYPERLINK \l "_Toc25662" </w:instrText>
      </w:r>
      <w:r>
        <w:fldChar w:fldCharType="separate"/>
      </w:r>
      <w:r>
        <w:rPr>
          <w:rFonts w:hint="eastAsia"/>
        </w:rPr>
        <w:t>2. 招标文件</w:t>
      </w:r>
      <w:r>
        <w:tab/>
      </w:r>
      <w:r>
        <w:fldChar w:fldCharType="begin"/>
      </w:r>
      <w:r>
        <w:instrText xml:space="preserve"> PAGEREF _Toc25662 </w:instrText>
      </w:r>
      <w:r>
        <w:fldChar w:fldCharType="separate"/>
      </w:r>
      <w:r>
        <w:t>9</w:t>
      </w:r>
      <w:r>
        <w:fldChar w:fldCharType="end"/>
      </w:r>
      <w:r>
        <w:fldChar w:fldCharType="end"/>
      </w:r>
    </w:p>
    <w:p>
      <w:pPr>
        <w:pStyle w:val="17"/>
        <w:tabs>
          <w:tab w:val="right" w:leader="dot" w:pos="10350"/>
        </w:tabs>
      </w:pPr>
      <w:r>
        <w:fldChar w:fldCharType="begin"/>
      </w:r>
      <w:r>
        <w:instrText xml:space="preserve"> HYPERLINK \l "_Toc1698" </w:instrText>
      </w:r>
      <w:r>
        <w:fldChar w:fldCharType="separate"/>
      </w:r>
      <w:r>
        <w:rPr>
          <w:rFonts w:hint="eastAsia"/>
        </w:rPr>
        <w:t>3. 投标文件</w:t>
      </w:r>
      <w:r>
        <w:tab/>
      </w:r>
      <w:r>
        <w:fldChar w:fldCharType="begin"/>
      </w:r>
      <w:r>
        <w:instrText xml:space="preserve"> PAGEREF _Toc1698 </w:instrText>
      </w:r>
      <w:r>
        <w:fldChar w:fldCharType="separate"/>
      </w:r>
      <w:r>
        <w:t>9</w:t>
      </w:r>
      <w:r>
        <w:fldChar w:fldCharType="end"/>
      </w:r>
      <w:r>
        <w:fldChar w:fldCharType="end"/>
      </w:r>
    </w:p>
    <w:p>
      <w:pPr>
        <w:pStyle w:val="17"/>
        <w:tabs>
          <w:tab w:val="right" w:leader="dot" w:pos="10350"/>
        </w:tabs>
      </w:pPr>
      <w:r>
        <w:fldChar w:fldCharType="begin"/>
      </w:r>
      <w:r>
        <w:instrText xml:space="preserve"> HYPERLINK \l "_Toc26118" </w:instrText>
      </w:r>
      <w:r>
        <w:fldChar w:fldCharType="separate"/>
      </w:r>
      <w:r>
        <w:rPr>
          <w:rFonts w:hint="eastAsia"/>
        </w:rPr>
        <w:t>4. 投标</w:t>
      </w:r>
      <w:r>
        <w:tab/>
      </w:r>
      <w:r>
        <w:fldChar w:fldCharType="begin"/>
      </w:r>
      <w:r>
        <w:instrText xml:space="preserve"> PAGEREF _Toc26118 </w:instrText>
      </w:r>
      <w:r>
        <w:fldChar w:fldCharType="separate"/>
      </w:r>
      <w:r>
        <w:t>11</w:t>
      </w:r>
      <w:r>
        <w:fldChar w:fldCharType="end"/>
      </w:r>
      <w:r>
        <w:fldChar w:fldCharType="end"/>
      </w:r>
    </w:p>
    <w:p>
      <w:pPr>
        <w:pStyle w:val="17"/>
        <w:tabs>
          <w:tab w:val="right" w:leader="dot" w:pos="10350"/>
        </w:tabs>
      </w:pPr>
      <w:r>
        <w:fldChar w:fldCharType="begin"/>
      </w:r>
      <w:r>
        <w:instrText xml:space="preserve"> HYPERLINK \l "_Toc2651" </w:instrText>
      </w:r>
      <w:r>
        <w:fldChar w:fldCharType="separate"/>
      </w:r>
      <w:r>
        <w:rPr>
          <w:rFonts w:hint="eastAsia"/>
        </w:rPr>
        <w:t>5. 开标</w:t>
      </w:r>
      <w:r>
        <w:tab/>
      </w:r>
      <w:r>
        <w:fldChar w:fldCharType="begin"/>
      </w:r>
      <w:r>
        <w:instrText xml:space="preserve"> PAGEREF _Toc2651 </w:instrText>
      </w:r>
      <w:r>
        <w:fldChar w:fldCharType="separate"/>
      </w:r>
      <w:r>
        <w:t>11</w:t>
      </w:r>
      <w:r>
        <w:fldChar w:fldCharType="end"/>
      </w:r>
      <w:r>
        <w:fldChar w:fldCharType="end"/>
      </w:r>
    </w:p>
    <w:p>
      <w:pPr>
        <w:pStyle w:val="17"/>
        <w:tabs>
          <w:tab w:val="right" w:leader="dot" w:pos="10350"/>
        </w:tabs>
      </w:pPr>
      <w:r>
        <w:fldChar w:fldCharType="begin"/>
      </w:r>
      <w:r>
        <w:instrText xml:space="preserve"> HYPERLINK \l "_Toc21324" </w:instrText>
      </w:r>
      <w:r>
        <w:fldChar w:fldCharType="separate"/>
      </w:r>
      <w:r>
        <w:rPr>
          <w:rFonts w:hint="eastAsia"/>
        </w:rPr>
        <w:t>6. 评标</w:t>
      </w:r>
      <w:r>
        <w:tab/>
      </w:r>
      <w:r>
        <w:fldChar w:fldCharType="begin"/>
      </w:r>
      <w:r>
        <w:instrText xml:space="preserve"> PAGEREF _Toc21324 </w:instrText>
      </w:r>
      <w:r>
        <w:fldChar w:fldCharType="separate"/>
      </w:r>
      <w:r>
        <w:t>12</w:t>
      </w:r>
      <w:r>
        <w:fldChar w:fldCharType="end"/>
      </w:r>
      <w:r>
        <w:fldChar w:fldCharType="end"/>
      </w:r>
    </w:p>
    <w:p>
      <w:pPr>
        <w:pStyle w:val="17"/>
        <w:tabs>
          <w:tab w:val="right" w:leader="dot" w:pos="10350"/>
        </w:tabs>
      </w:pPr>
      <w:r>
        <w:fldChar w:fldCharType="begin"/>
      </w:r>
      <w:r>
        <w:instrText xml:space="preserve"> HYPERLINK \l "_Toc7775" </w:instrText>
      </w:r>
      <w:r>
        <w:fldChar w:fldCharType="separate"/>
      </w:r>
      <w:r>
        <w:rPr>
          <w:rFonts w:hint="eastAsia"/>
        </w:rPr>
        <w:t>7. 合同授予</w:t>
      </w:r>
      <w:r>
        <w:tab/>
      </w:r>
      <w:r>
        <w:fldChar w:fldCharType="begin"/>
      </w:r>
      <w:r>
        <w:instrText xml:space="preserve"> PAGEREF _Toc7775 </w:instrText>
      </w:r>
      <w:r>
        <w:fldChar w:fldCharType="separate"/>
      </w:r>
      <w:r>
        <w:t>12</w:t>
      </w:r>
      <w:r>
        <w:fldChar w:fldCharType="end"/>
      </w:r>
      <w:r>
        <w:fldChar w:fldCharType="end"/>
      </w:r>
    </w:p>
    <w:p>
      <w:pPr>
        <w:pStyle w:val="17"/>
        <w:tabs>
          <w:tab w:val="right" w:leader="dot" w:pos="10350"/>
        </w:tabs>
      </w:pPr>
      <w:r>
        <w:fldChar w:fldCharType="begin"/>
      </w:r>
      <w:r>
        <w:instrText xml:space="preserve"> HYPERLINK \l "_Toc13414" </w:instrText>
      </w:r>
      <w:r>
        <w:fldChar w:fldCharType="separate"/>
      </w:r>
      <w:r>
        <w:rPr>
          <w:rFonts w:hint="eastAsia"/>
        </w:rPr>
        <w:t>8. 纪律和监督</w:t>
      </w:r>
      <w:r>
        <w:tab/>
      </w:r>
      <w:r>
        <w:fldChar w:fldCharType="begin"/>
      </w:r>
      <w:r>
        <w:instrText xml:space="preserve"> PAGEREF _Toc13414 </w:instrText>
      </w:r>
      <w:r>
        <w:fldChar w:fldCharType="separate"/>
      </w:r>
      <w:r>
        <w:t>13</w:t>
      </w:r>
      <w:r>
        <w:fldChar w:fldCharType="end"/>
      </w:r>
      <w:r>
        <w:fldChar w:fldCharType="end"/>
      </w:r>
    </w:p>
    <w:p>
      <w:pPr>
        <w:pStyle w:val="17"/>
        <w:tabs>
          <w:tab w:val="right" w:leader="dot" w:pos="10350"/>
        </w:tabs>
      </w:pPr>
      <w:r>
        <w:fldChar w:fldCharType="begin"/>
      </w:r>
      <w:r>
        <w:instrText xml:space="preserve"> HYPERLINK \l "_Toc4546" </w:instrText>
      </w:r>
      <w:r>
        <w:fldChar w:fldCharType="separate"/>
      </w:r>
      <w:r>
        <w:rPr>
          <w:rFonts w:hint="eastAsia"/>
        </w:rPr>
        <w:t>9. 其他内容</w:t>
      </w:r>
      <w:r>
        <w:tab/>
      </w:r>
      <w:r>
        <w:fldChar w:fldCharType="begin"/>
      </w:r>
      <w:r>
        <w:instrText xml:space="preserve"> PAGEREF _Toc4546 </w:instrText>
      </w:r>
      <w:r>
        <w:fldChar w:fldCharType="separate"/>
      </w:r>
      <w:r>
        <w:t>14</w:t>
      </w:r>
      <w:r>
        <w:fldChar w:fldCharType="end"/>
      </w:r>
      <w:r>
        <w:fldChar w:fldCharType="end"/>
      </w:r>
    </w:p>
    <w:p>
      <w:pPr>
        <w:pStyle w:val="16"/>
        <w:tabs>
          <w:tab w:val="right" w:leader="dot" w:pos="10350"/>
        </w:tabs>
      </w:pPr>
      <w:r>
        <w:fldChar w:fldCharType="begin"/>
      </w:r>
      <w:r>
        <w:instrText xml:space="preserve"> HYPERLINK \l "_Toc19401" </w:instrText>
      </w:r>
      <w:r>
        <w:fldChar w:fldCharType="separate"/>
      </w:r>
      <w:r>
        <w:rPr>
          <w:rFonts w:hint="eastAsia"/>
        </w:rPr>
        <w:t>第三章评标办法</w:t>
      </w:r>
      <w:r>
        <w:tab/>
      </w:r>
      <w:r>
        <w:fldChar w:fldCharType="begin"/>
      </w:r>
      <w:r>
        <w:instrText xml:space="preserve"> PAGEREF _Toc19401 </w:instrText>
      </w:r>
      <w:r>
        <w:fldChar w:fldCharType="separate"/>
      </w:r>
      <w:r>
        <w:t>15</w:t>
      </w:r>
      <w:r>
        <w:fldChar w:fldCharType="end"/>
      </w:r>
      <w:r>
        <w:fldChar w:fldCharType="end"/>
      </w:r>
    </w:p>
    <w:p>
      <w:pPr>
        <w:pStyle w:val="17"/>
        <w:tabs>
          <w:tab w:val="right" w:leader="dot" w:pos="10350"/>
        </w:tabs>
      </w:pPr>
      <w:r>
        <w:fldChar w:fldCharType="begin"/>
      </w:r>
      <w:r>
        <w:instrText xml:space="preserve"> HYPERLINK \l "_Toc22031" </w:instrText>
      </w:r>
      <w:r>
        <w:fldChar w:fldCharType="separate"/>
      </w:r>
      <w:r>
        <w:rPr>
          <w:rFonts w:hint="eastAsia"/>
        </w:rPr>
        <w:t>评标办法前附表</w:t>
      </w:r>
      <w:r>
        <w:tab/>
      </w:r>
      <w:r>
        <w:fldChar w:fldCharType="begin"/>
      </w:r>
      <w:r>
        <w:instrText xml:space="preserve"> PAGEREF _Toc22031 </w:instrText>
      </w:r>
      <w:r>
        <w:fldChar w:fldCharType="separate"/>
      </w:r>
      <w:r>
        <w:t>16</w:t>
      </w:r>
      <w:r>
        <w:fldChar w:fldCharType="end"/>
      </w:r>
      <w:r>
        <w:fldChar w:fldCharType="end"/>
      </w:r>
    </w:p>
    <w:p>
      <w:pPr>
        <w:pStyle w:val="17"/>
        <w:tabs>
          <w:tab w:val="right" w:leader="dot" w:pos="10350"/>
        </w:tabs>
      </w:pPr>
      <w:r>
        <w:fldChar w:fldCharType="begin"/>
      </w:r>
      <w:r>
        <w:instrText xml:space="preserve"> HYPERLINK \l "_Toc16922" </w:instrText>
      </w:r>
      <w:r>
        <w:fldChar w:fldCharType="separate"/>
      </w:r>
      <w:r>
        <w:rPr>
          <w:rFonts w:hint="eastAsia"/>
        </w:rPr>
        <w:t>1. 评标方法</w:t>
      </w:r>
      <w:r>
        <w:tab/>
      </w:r>
      <w:r>
        <w:fldChar w:fldCharType="begin"/>
      </w:r>
      <w:r>
        <w:instrText xml:space="preserve"> PAGEREF _Toc16922 </w:instrText>
      </w:r>
      <w:r>
        <w:fldChar w:fldCharType="separate"/>
      </w:r>
      <w:r>
        <w:t>18</w:t>
      </w:r>
      <w:r>
        <w:fldChar w:fldCharType="end"/>
      </w:r>
      <w:r>
        <w:fldChar w:fldCharType="end"/>
      </w:r>
    </w:p>
    <w:p>
      <w:pPr>
        <w:pStyle w:val="17"/>
        <w:tabs>
          <w:tab w:val="right" w:leader="dot" w:pos="10350"/>
        </w:tabs>
      </w:pPr>
      <w:r>
        <w:fldChar w:fldCharType="begin"/>
      </w:r>
      <w:r>
        <w:instrText xml:space="preserve"> HYPERLINK \l "_Toc408" </w:instrText>
      </w:r>
      <w:r>
        <w:fldChar w:fldCharType="separate"/>
      </w:r>
      <w:r>
        <w:rPr>
          <w:rFonts w:hint="eastAsia"/>
        </w:rPr>
        <w:t>2. 评审标准</w:t>
      </w:r>
      <w:r>
        <w:tab/>
      </w:r>
      <w:r>
        <w:fldChar w:fldCharType="begin"/>
      </w:r>
      <w:r>
        <w:instrText xml:space="preserve"> PAGEREF _Toc408 </w:instrText>
      </w:r>
      <w:r>
        <w:fldChar w:fldCharType="separate"/>
      </w:r>
      <w:r>
        <w:t>18</w:t>
      </w:r>
      <w:r>
        <w:fldChar w:fldCharType="end"/>
      </w:r>
      <w:r>
        <w:fldChar w:fldCharType="end"/>
      </w:r>
    </w:p>
    <w:p>
      <w:pPr>
        <w:pStyle w:val="17"/>
        <w:tabs>
          <w:tab w:val="right" w:leader="dot" w:pos="10350"/>
        </w:tabs>
      </w:pPr>
      <w:r>
        <w:fldChar w:fldCharType="begin"/>
      </w:r>
      <w:r>
        <w:instrText xml:space="preserve"> HYPERLINK \l "_Toc2995" </w:instrText>
      </w:r>
      <w:r>
        <w:fldChar w:fldCharType="separate"/>
      </w:r>
      <w:r>
        <w:rPr>
          <w:rFonts w:hint="eastAsia"/>
        </w:rPr>
        <w:t>3. 评标程序</w:t>
      </w:r>
      <w:r>
        <w:tab/>
      </w:r>
      <w:r>
        <w:fldChar w:fldCharType="begin"/>
      </w:r>
      <w:r>
        <w:instrText xml:space="preserve"> PAGEREF _Toc2995 </w:instrText>
      </w:r>
      <w:r>
        <w:fldChar w:fldCharType="separate"/>
      </w:r>
      <w:r>
        <w:t>18</w:t>
      </w:r>
      <w:r>
        <w:fldChar w:fldCharType="end"/>
      </w:r>
      <w:r>
        <w:fldChar w:fldCharType="end"/>
      </w:r>
    </w:p>
    <w:p>
      <w:pPr>
        <w:pStyle w:val="16"/>
        <w:tabs>
          <w:tab w:val="right" w:leader="dot" w:pos="10350"/>
        </w:tabs>
      </w:pPr>
      <w:r>
        <w:fldChar w:fldCharType="begin"/>
      </w:r>
      <w:r>
        <w:instrText xml:space="preserve"> HYPERLINK \l "_Toc22863" </w:instrText>
      </w:r>
      <w:r>
        <w:fldChar w:fldCharType="separate"/>
      </w:r>
      <w:r>
        <w:rPr>
          <w:rFonts w:hint="eastAsia"/>
        </w:rPr>
        <w:t>第四章投标文件格式</w:t>
      </w:r>
      <w:r>
        <w:tab/>
      </w:r>
      <w:r>
        <w:fldChar w:fldCharType="begin"/>
      </w:r>
      <w:r>
        <w:instrText xml:space="preserve"> PAGEREF _Toc22863 </w:instrText>
      </w:r>
      <w:r>
        <w:fldChar w:fldCharType="separate"/>
      </w:r>
      <w:r>
        <w:t>20</w:t>
      </w:r>
      <w:r>
        <w:fldChar w:fldCharType="end"/>
      </w:r>
      <w:r>
        <w:fldChar w:fldCharType="end"/>
      </w:r>
    </w:p>
    <w:p>
      <w:pPr>
        <w:pStyle w:val="17"/>
        <w:tabs>
          <w:tab w:val="right" w:leader="dot" w:pos="10350"/>
        </w:tabs>
      </w:pPr>
      <w:r>
        <w:fldChar w:fldCharType="begin"/>
      </w:r>
      <w:r>
        <w:instrText xml:space="preserve"> HYPERLINK \l "_Toc7072" </w:instrText>
      </w:r>
      <w:r>
        <w:fldChar w:fldCharType="separate"/>
      </w:r>
      <w:r>
        <w:rPr>
          <w:rFonts w:hint="eastAsia"/>
        </w:rPr>
        <w:t>目录</w:t>
      </w:r>
      <w:r>
        <w:tab/>
      </w:r>
      <w:r>
        <w:fldChar w:fldCharType="begin"/>
      </w:r>
      <w:r>
        <w:instrText xml:space="preserve"> PAGEREF _Toc7072 </w:instrText>
      </w:r>
      <w:r>
        <w:fldChar w:fldCharType="separate"/>
      </w:r>
      <w:r>
        <w:t>22</w:t>
      </w:r>
      <w:r>
        <w:fldChar w:fldCharType="end"/>
      </w:r>
      <w:r>
        <w:fldChar w:fldCharType="end"/>
      </w:r>
    </w:p>
    <w:p>
      <w:pPr>
        <w:pStyle w:val="17"/>
        <w:tabs>
          <w:tab w:val="right" w:leader="dot" w:pos="10350"/>
        </w:tabs>
      </w:pPr>
      <w:r>
        <w:fldChar w:fldCharType="begin"/>
      </w:r>
      <w:r>
        <w:instrText xml:space="preserve"> HYPERLINK \l "_Toc18036" </w:instrText>
      </w:r>
      <w:r>
        <w:fldChar w:fldCharType="separate"/>
      </w:r>
      <w:r>
        <w:t>一、投标函</w:t>
      </w:r>
      <w:r>
        <w:tab/>
      </w:r>
      <w:r>
        <w:fldChar w:fldCharType="begin"/>
      </w:r>
      <w:r>
        <w:instrText xml:space="preserve"> PAGEREF _Toc18036 </w:instrText>
      </w:r>
      <w:r>
        <w:fldChar w:fldCharType="separate"/>
      </w:r>
      <w:r>
        <w:t>23</w:t>
      </w:r>
      <w:r>
        <w:fldChar w:fldCharType="end"/>
      </w:r>
      <w:r>
        <w:fldChar w:fldCharType="end"/>
      </w:r>
    </w:p>
    <w:p>
      <w:pPr>
        <w:pStyle w:val="17"/>
        <w:tabs>
          <w:tab w:val="right" w:leader="dot" w:pos="10350"/>
        </w:tabs>
      </w:pPr>
      <w:r>
        <w:fldChar w:fldCharType="begin"/>
      </w:r>
      <w:r>
        <w:instrText xml:space="preserve"> HYPERLINK \l "_Toc22289" </w:instrText>
      </w:r>
      <w:r>
        <w:fldChar w:fldCharType="separate"/>
      </w:r>
      <w:r>
        <w:t>二、授权委托书</w:t>
      </w:r>
      <w:r>
        <w:tab/>
      </w:r>
      <w:r>
        <w:fldChar w:fldCharType="begin"/>
      </w:r>
      <w:r>
        <w:instrText xml:space="preserve"> PAGEREF _Toc22289 </w:instrText>
      </w:r>
      <w:r>
        <w:fldChar w:fldCharType="separate"/>
      </w:r>
      <w:r>
        <w:t>24</w:t>
      </w:r>
      <w:r>
        <w:fldChar w:fldCharType="end"/>
      </w:r>
      <w:r>
        <w:fldChar w:fldCharType="end"/>
      </w:r>
    </w:p>
    <w:p>
      <w:pPr>
        <w:pStyle w:val="17"/>
        <w:tabs>
          <w:tab w:val="right" w:leader="dot" w:pos="10350"/>
        </w:tabs>
      </w:pPr>
      <w:r>
        <w:fldChar w:fldCharType="begin"/>
      </w:r>
      <w:r>
        <w:instrText xml:space="preserve"> HYPERLINK \l "_Toc32408" </w:instrText>
      </w:r>
      <w:r>
        <w:fldChar w:fldCharType="separate"/>
      </w:r>
      <w:r>
        <w:rPr>
          <w:rFonts w:hint="eastAsia"/>
        </w:rPr>
        <w:t>三、投标保证金</w:t>
      </w:r>
      <w:r>
        <w:tab/>
      </w:r>
      <w:r>
        <w:fldChar w:fldCharType="begin"/>
      </w:r>
      <w:r>
        <w:instrText xml:space="preserve"> PAGEREF _Toc32408 </w:instrText>
      </w:r>
      <w:r>
        <w:fldChar w:fldCharType="separate"/>
      </w:r>
      <w:r>
        <w:t>26</w:t>
      </w:r>
      <w:r>
        <w:fldChar w:fldCharType="end"/>
      </w:r>
      <w:r>
        <w:fldChar w:fldCharType="end"/>
      </w:r>
    </w:p>
    <w:p>
      <w:pPr>
        <w:pStyle w:val="17"/>
        <w:tabs>
          <w:tab w:val="right" w:leader="dot" w:pos="10350"/>
        </w:tabs>
      </w:pPr>
      <w:r>
        <w:fldChar w:fldCharType="begin"/>
      </w:r>
      <w:r>
        <w:instrText xml:space="preserve"> HYPERLINK \l "_Toc5594" </w:instrText>
      </w:r>
      <w:r>
        <w:fldChar w:fldCharType="separate"/>
      </w:r>
      <w:r>
        <w:rPr>
          <w:rFonts w:hint="eastAsia"/>
        </w:rPr>
        <w:t>四</w:t>
      </w:r>
      <w:r>
        <w:t>、资格审查资料</w:t>
      </w:r>
      <w:r>
        <w:tab/>
      </w:r>
      <w:r>
        <w:fldChar w:fldCharType="begin"/>
      </w:r>
      <w:r>
        <w:instrText xml:space="preserve"> PAGEREF _Toc5594 </w:instrText>
      </w:r>
      <w:r>
        <w:fldChar w:fldCharType="separate"/>
      </w:r>
      <w:r>
        <w:t>27</w:t>
      </w:r>
      <w:r>
        <w:fldChar w:fldCharType="end"/>
      </w:r>
      <w:r>
        <w:fldChar w:fldCharType="end"/>
      </w:r>
    </w:p>
    <w:p>
      <w:pPr>
        <w:pStyle w:val="17"/>
        <w:tabs>
          <w:tab w:val="right" w:leader="dot" w:pos="10350"/>
        </w:tabs>
      </w:pPr>
      <w:r>
        <w:fldChar w:fldCharType="begin"/>
      </w:r>
      <w:r>
        <w:instrText xml:space="preserve"> HYPERLINK \l "_Toc6337" </w:instrText>
      </w:r>
      <w:r>
        <w:fldChar w:fldCharType="separate"/>
      </w:r>
      <w:r>
        <w:rPr>
          <w:rFonts w:hint="eastAsia"/>
        </w:rPr>
        <w:t>五、运营方案</w:t>
      </w:r>
      <w:r>
        <w:tab/>
      </w:r>
      <w:r>
        <w:fldChar w:fldCharType="begin"/>
      </w:r>
      <w:r>
        <w:instrText xml:space="preserve"> PAGEREF _Toc6337 </w:instrText>
      </w:r>
      <w:r>
        <w:fldChar w:fldCharType="separate"/>
      </w:r>
      <w:r>
        <w:t>31</w:t>
      </w:r>
      <w:r>
        <w:fldChar w:fldCharType="end"/>
      </w:r>
      <w:r>
        <w:fldChar w:fldCharType="end"/>
      </w:r>
    </w:p>
    <w:p>
      <w:pPr>
        <w:pStyle w:val="17"/>
        <w:tabs>
          <w:tab w:val="right" w:leader="dot" w:pos="10350"/>
        </w:tabs>
      </w:pPr>
      <w:r>
        <w:fldChar w:fldCharType="begin"/>
      </w:r>
      <w:r>
        <w:instrText xml:space="preserve"> HYPERLINK \l "_Toc8058" </w:instrText>
      </w:r>
      <w:r>
        <w:fldChar w:fldCharType="separate"/>
      </w:r>
      <w:r>
        <w:rPr>
          <w:rFonts w:hint="eastAsia"/>
        </w:rPr>
        <w:t>六、拟派服务团队人员情况</w:t>
      </w:r>
      <w:r>
        <w:tab/>
      </w:r>
      <w:r>
        <w:fldChar w:fldCharType="begin"/>
      </w:r>
      <w:r>
        <w:instrText xml:space="preserve"> PAGEREF _Toc8058 </w:instrText>
      </w:r>
      <w:r>
        <w:fldChar w:fldCharType="separate"/>
      </w:r>
      <w:r>
        <w:t>32</w:t>
      </w:r>
      <w:r>
        <w:fldChar w:fldCharType="end"/>
      </w:r>
      <w:r>
        <w:fldChar w:fldCharType="end"/>
      </w:r>
    </w:p>
    <w:p>
      <w:pPr>
        <w:pStyle w:val="16"/>
        <w:tabs>
          <w:tab w:val="right" w:leader="dot" w:pos="10350"/>
        </w:tabs>
      </w:pPr>
      <w:r>
        <w:fldChar w:fldCharType="begin"/>
      </w:r>
      <w:r>
        <w:instrText xml:space="preserve"> HYPERLINK \l "_Toc24759" </w:instrText>
      </w:r>
      <w:r>
        <w:fldChar w:fldCharType="separate"/>
      </w:r>
      <w:r>
        <w:rPr>
          <w:rFonts w:hint="eastAsia"/>
        </w:rPr>
        <w:t>第五章合同范本</w:t>
      </w:r>
      <w:r>
        <w:tab/>
      </w:r>
      <w:r>
        <w:fldChar w:fldCharType="begin"/>
      </w:r>
      <w:r>
        <w:instrText xml:space="preserve"> PAGEREF _Toc24759 </w:instrText>
      </w:r>
      <w:r>
        <w:fldChar w:fldCharType="separate"/>
      </w:r>
      <w:r>
        <w:t>33</w:t>
      </w:r>
      <w:r>
        <w:fldChar w:fldCharType="end"/>
      </w:r>
      <w:r>
        <w:fldChar w:fldCharType="end"/>
      </w:r>
    </w:p>
    <w:p>
      <w:pPr>
        <w:pStyle w:val="16"/>
        <w:tabs>
          <w:tab w:val="right" w:leader="dot" w:pos="10350"/>
        </w:tabs>
      </w:pPr>
    </w:p>
    <w:p>
      <w:pPr>
        <w:tabs>
          <w:tab w:val="center" w:pos="4153"/>
        </w:tabs>
        <w:spacing w:before="240" w:beforeLines="100" w:after="240" w:afterLines="100" w:line="480" w:lineRule="auto"/>
        <w:rPr>
          <w:rFonts w:ascii="宋体" w:hAnsi="宋体" w:cs="宋体"/>
          <w:sz w:val="44"/>
          <w:szCs w:val="44"/>
        </w:rPr>
      </w:pPr>
      <w:r>
        <w:rPr>
          <w:rFonts w:ascii="宋体" w:hAnsi="宋体" w:cs="宋体"/>
          <w:szCs w:val="44"/>
        </w:rPr>
        <w:fldChar w:fldCharType="end"/>
      </w:r>
    </w:p>
    <w:p>
      <w:pPr>
        <w:tabs>
          <w:tab w:val="center" w:pos="4153"/>
        </w:tabs>
        <w:spacing w:before="240" w:beforeLines="100" w:after="240" w:afterLines="100" w:line="480" w:lineRule="auto"/>
        <w:rPr>
          <w:rFonts w:ascii="宋体" w:hAnsi="宋体" w:cs="宋体"/>
          <w:sz w:val="44"/>
          <w:szCs w:val="44"/>
        </w:rPr>
      </w:pPr>
    </w:p>
    <w:p>
      <w:pPr>
        <w:tabs>
          <w:tab w:val="center" w:pos="4153"/>
        </w:tabs>
        <w:spacing w:before="240" w:beforeLines="100" w:after="240" w:afterLines="100" w:line="480" w:lineRule="auto"/>
        <w:rPr>
          <w:rFonts w:ascii="宋体" w:hAnsi="宋体" w:cs="宋体"/>
          <w:sz w:val="44"/>
          <w:szCs w:val="44"/>
        </w:rPr>
      </w:pPr>
    </w:p>
    <w:p>
      <w:pPr>
        <w:pStyle w:val="2"/>
        <w:ind w:firstLine="420"/>
        <w:rPr>
          <w:rFonts w:hint="default"/>
        </w:rPr>
        <w:sectPr>
          <w:headerReference r:id="rId6" w:type="default"/>
          <w:footerReference r:id="rId7" w:type="default"/>
          <w:pgSz w:w="11910" w:h="16840"/>
          <w:pgMar w:top="920" w:right="620" w:bottom="740" w:left="940" w:header="624" w:footer="543" w:gutter="0"/>
          <w:pgNumType w:start="1"/>
          <w:cols w:space="720" w:num="1"/>
        </w:sectPr>
      </w:pPr>
      <w:bookmarkStart w:id="12" w:name="_Toc12515"/>
      <w:bookmarkStart w:id="13" w:name="_Toc27790"/>
      <w:bookmarkStart w:id="14" w:name="_Toc343_WPSOffice_Level1"/>
      <w:bookmarkStart w:id="15" w:name="_Toc28213_WPSOffice_Level1"/>
      <w:bookmarkStart w:id="16" w:name="_Toc11601"/>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left="0" w:leftChars="0" w:firstLine="0" w:firstLineChars="0"/>
        <w:rPr>
          <w:rFonts w:hint="default"/>
        </w:rPr>
      </w:pPr>
    </w:p>
    <w:p>
      <w:pPr>
        <w:pStyle w:val="4"/>
        <w:jc w:val="center"/>
      </w:pPr>
      <w:bookmarkStart w:id="17" w:name="_Toc916"/>
      <w:bookmarkStart w:id="18" w:name="_Toc30857"/>
      <w:bookmarkStart w:id="19" w:name="_Toc29620"/>
      <w:bookmarkStart w:id="20" w:name="_Toc17162"/>
      <w:bookmarkStart w:id="21" w:name="_Toc17538"/>
      <w:r>
        <w:rPr>
          <w:rFonts w:hint="eastAsia"/>
        </w:rPr>
        <w:t>第一章招商公告</w:t>
      </w:r>
      <w:bookmarkEnd w:id="8"/>
      <w:bookmarkEnd w:id="9"/>
      <w:bookmarkEnd w:id="10"/>
      <w:bookmarkEnd w:id="11"/>
      <w:bookmarkEnd w:id="12"/>
      <w:bookmarkEnd w:id="13"/>
      <w:bookmarkEnd w:id="14"/>
      <w:bookmarkEnd w:id="15"/>
      <w:bookmarkEnd w:id="16"/>
      <w:bookmarkEnd w:id="17"/>
      <w:bookmarkEnd w:id="18"/>
      <w:bookmarkEnd w:id="19"/>
      <w:bookmarkEnd w:id="20"/>
      <w:bookmarkEnd w:id="21"/>
    </w:p>
    <w:p>
      <w:pPr>
        <w:rPr>
          <w:rFonts w:ascii="宋体" w:hAnsi="宋体" w:cs="宋体"/>
          <w:sz w:val="28"/>
          <w:szCs w:val="28"/>
        </w:rPr>
      </w:pPr>
      <w:r>
        <w:rPr>
          <w:rFonts w:hint="eastAsia" w:ascii="宋体" w:hAnsi="宋体" w:cs="宋体"/>
          <w:sz w:val="28"/>
          <w:szCs w:val="28"/>
        </w:rPr>
        <w:br w:type="page"/>
      </w:r>
    </w:p>
    <w:p>
      <w:pPr>
        <w:spacing w:line="440" w:lineRule="exact"/>
        <w:jc w:val="center"/>
        <w:rPr>
          <w:rFonts w:ascii="宋体" w:hAnsi="宋体" w:cs="宋体"/>
          <w:sz w:val="28"/>
          <w:szCs w:val="28"/>
        </w:rPr>
      </w:pPr>
      <w:r>
        <w:rPr>
          <w:rFonts w:hint="eastAsia" w:ascii="宋体" w:hAnsi="宋体" w:cs="宋体"/>
          <w:sz w:val="28"/>
          <w:szCs w:val="28"/>
        </w:rPr>
        <w:t>景州文体中心电影场馆委托运营服务项目</w:t>
      </w:r>
    </w:p>
    <w:p>
      <w:pPr>
        <w:spacing w:line="440" w:lineRule="exact"/>
        <w:jc w:val="center"/>
        <w:rPr>
          <w:rFonts w:ascii="宋体" w:hAnsi="宋体" w:cs="宋体"/>
          <w:sz w:val="28"/>
          <w:szCs w:val="28"/>
        </w:rPr>
      </w:pPr>
      <w:r>
        <w:rPr>
          <w:rFonts w:hint="eastAsia" w:ascii="宋体" w:hAnsi="宋体" w:cs="宋体"/>
          <w:sz w:val="28"/>
          <w:szCs w:val="28"/>
        </w:rPr>
        <w:t>招标公告</w:t>
      </w:r>
    </w:p>
    <w:p>
      <w:pPr>
        <w:pStyle w:val="5"/>
        <w:numPr>
          <w:ilvl w:val="0"/>
          <w:numId w:val="1"/>
        </w:numPr>
        <w:rPr>
          <w:sz w:val="24"/>
          <w:szCs w:val="28"/>
        </w:rPr>
      </w:pPr>
      <w:bookmarkStart w:id="22" w:name="_Toc26454"/>
      <w:bookmarkStart w:id="23" w:name="_Toc11544"/>
      <w:bookmarkStart w:id="24" w:name="_Toc32601"/>
      <w:bookmarkStart w:id="25" w:name="_Toc1894"/>
      <w:bookmarkStart w:id="26" w:name="_Toc22702"/>
      <w:bookmarkStart w:id="27" w:name="_Toc31339"/>
      <w:bookmarkStart w:id="28" w:name="_Toc24212"/>
      <w:bookmarkStart w:id="29" w:name="_Toc19072"/>
      <w:bookmarkStart w:id="30" w:name="_Toc256"/>
      <w:bookmarkStart w:id="31" w:name="_Toc17624"/>
      <w:bookmarkStart w:id="32" w:name="_Toc21407"/>
      <w:r>
        <w:rPr>
          <w:rFonts w:hint="eastAsia"/>
          <w:sz w:val="24"/>
          <w:szCs w:val="28"/>
        </w:rPr>
        <w:t>招标条件</w:t>
      </w:r>
      <w:bookmarkEnd w:id="22"/>
      <w:bookmarkEnd w:id="23"/>
      <w:bookmarkEnd w:id="24"/>
      <w:bookmarkEnd w:id="25"/>
      <w:bookmarkEnd w:id="26"/>
      <w:bookmarkEnd w:id="27"/>
      <w:bookmarkEnd w:id="28"/>
    </w:p>
    <w:p>
      <w:pPr>
        <w:widowControl/>
        <w:tabs>
          <w:tab w:val="left" w:pos="900"/>
          <w:tab w:val="left" w:pos="1100"/>
        </w:tabs>
        <w:spacing w:line="360" w:lineRule="auto"/>
        <w:ind w:firstLine="420" w:firstLineChars="200"/>
        <w:rPr>
          <w:rFonts w:ascii="宋体" w:hAnsi="宋体" w:cs="宋体"/>
          <w:szCs w:val="21"/>
        </w:rPr>
      </w:pPr>
      <w:r>
        <w:rPr>
          <w:rFonts w:ascii="宋体" w:hAnsi="宋体" w:cs="宋体"/>
          <w:szCs w:val="21"/>
        </w:rPr>
        <w:t>本招</w:t>
      </w:r>
      <w:r>
        <w:rPr>
          <w:rFonts w:hint="eastAsia" w:ascii="宋体" w:hAnsi="宋体" w:cs="宋体"/>
          <w:szCs w:val="21"/>
        </w:rPr>
        <w:t>标</w:t>
      </w:r>
      <w:r>
        <w:rPr>
          <w:rFonts w:ascii="宋体" w:hAnsi="宋体" w:cs="宋体"/>
          <w:szCs w:val="21"/>
        </w:rPr>
        <w:t>项目</w:t>
      </w:r>
      <w:r>
        <w:rPr>
          <w:rFonts w:hint="eastAsia" w:ascii="宋体" w:hAnsi="宋体" w:cs="宋体"/>
          <w:szCs w:val="21"/>
        </w:rPr>
        <w:t>名称为</w:t>
      </w:r>
      <w:r>
        <w:rPr>
          <w:rFonts w:hint="eastAsia" w:ascii="宋体" w:hAnsi="宋体" w:cs="宋体"/>
          <w:szCs w:val="21"/>
          <w:u w:val="single"/>
        </w:rPr>
        <w:t>景州文体中心电影场馆委托运营服务项目</w:t>
      </w:r>
      <w:r>
        <w:rPr>
          <w:rFonts w:hint="eastAsia" w:ascii="宋体" w:hAnsi="宋体" w:cs="宋体"/>
          <w:szCs w:val="21"/>
        </w:rPr>
        <w:t>，</w:t>
      </w:r>
      <w:r>
        <w:rPr>
          <w:rFonts w:ascii="宋体" w:hAnsi="宋体" w:cs="宋体"/>
          <w:szCs w:val="21"/>
        </w:rPr>
        <w:t>项目业主为</w:t>
      </w:r>
      <w:r>
        <w:rPr>
          <w:rFonts w:hint="eastAsia" w:ascii="宋体" w:hAnsi="宋体" w:cs="宋体"/>
          <w:szCs w:val="21"/>
          <w:u w:val="single"/>
        </w:rPr>
        <w:t>景县景州仲舒文体中心有限责任公司</w:t>
      </w:r>
      <w:r>
        <w:rPr>
          <w:rFonts w:ascii="宋体" w:hAnsi="宋体" w:cs="宋体"/>
          <w:szCs w:val="21"/>
        </w:rPr>
        <w:t>，招标人为</w:t>
      </w:r>
      <w:r>
        <w:rPr>
          <w:rFonts w:hint="eastAsia" w:ascii="宋体" w:hAnsi="宋体" w:cs="宋体"/>
          <w:szCs w:val="21"/>
          <w:u w:val="single"/>
        </w:rPr>
        <w:t>景县景州仲舒文体中心有限责任公司</w:t>
      </w:r>
      <w:r>
        <w:rPr>
          <w:rFonts w:ascii="宋体" w:hAnsi="宋体" w:cs="宋体"/>
          <w:szCs w:val="21"/>
        </w:rPr>
        <w:t>。项目已具备招标条件，现对该项目进行公开招标。</w:t>
      </w:r>
    </w:p>
    <w:p>
      <w:pPr>
        <w:pStyle w:val="5"/>
        <w:rPr>
          <w:sz w:val="24"/>
          <w:szCs w:val="28"/>
        </w:rPr>
      </w:pPr>
      <w:bookmarkStart w:id="33" w:name="_Toc3621"/>
      <w:bookmarkStart w:id="34" w:name="_Toc31260"/>
      <w:bookmarkStart w:id="35" w:name="_Toc4396"/>
      <w:bookmarkStart w:id="36" w:name="_Toc30331"/>
      <w:bookmarkStart w:id="37" w:name="_Toc2693"/>
      <w:bookmarkStart w:id="38" w:name="_Toc27326"/>
      <w:bookmarkStart w:id="39" w:name="_Toc12165"/>
      <w:r>
        <w:rPr>
          <w:rFonts w:hint="eastAsia"/>
          <w:sz w:val="24"/>
          <w:szCs w:val="28"/>
        </w:rPr>
        <w:t>2</w:t>
      </w:r>
      <w:bookmarkEnd w:id="33"/>
      <w:bookmarkEnd w:id="34"/>
      <w:r>
        <w:rPr>
          <w:rFonts w:hint="eastAsia"/>
          <w:b/>
          <w:szCs w:val="24"/>
        </w:rPr>
        <w:t xml:space="preserve">. </w:t>
      </w:r>
      <w:r>
        <w:rPr>
          <w:rFonts w:hint="eastAsia"/>
          <w:sz w:val="24"/>
          <w:szCs w:val="28"/>
        </w:rPr>
        <w:t>项目概况与招标范围</w:t>
      </w:r>
      <w:bookmarkEnd w:id="35"/>
      <w:bookmarkEnd w:id="36"/>
      <w:bookmarkEnd w:id="37"/>
      <w:bookmarkEnd w:id="38"/>
      <w:bookmarkEnd w:id="39"/>
    </w:p>
    <w:p>
      <w:pPr>
        <w:widowControl/>
        <w:tabs>
          <w:tab w:val="left" w:pos="900"/>
          <w:tab w:val="left" w:pos="1100"/>
        </w:tabs>
        <w:spacing w:line="360" w:lineRule="auto"/>
        <w:ind w:firstLine="420" w:firstLineChars="200"/>
        <w:rPr>
          <w:rFonts w:ascii="宋体" w:hAnsi="宋体" w:cs="宋体"/>
          <w:szCs w:val="21"/>
        </w:rPr>
      </w:pPr>
      <w:bookmarkStart w:id="40" w:name="_Toc18975"/>
      <w:bookmarkStart w:id="41" w:name="_Toc17015"/>
      <w:r>
        <w:rPr>
          <w:rFonts w:hint="eastAsia" w:ascii="宋体" w:hAnsi="宋体" w:cs="宋体"/>
          <w:szCs w:val="21"/>
        </w:rPr>
        <w:t>2.1建设地点：衡水景县县城广川大街与市场路交叉口</w:t>
      </w:r>
    </w:p>
    <w:p>
      <w:pPr>
        <w:widowControl/>
        <w:tabs>
          <w:tab w:val="left" w:pos="900"/>
          <w:tab w:val="left" w:pos="1100"/>
        </w:tabs>
        <w:spacing w:line="360" w:lineRule="auto"/>
        <w:ind w:firstLine="420" w:firstLineChars="200"/>
        <w:rPr>
          <w:rFonts w:ascii="宋体" w:hAnsi="宋体" w:cs="宋体"/>
          <w:szCs w:val="21"/>
        </w:rPr>
      </w:pPr>
      <w:r>
        <w:rPr>
          <w:rFonts w:ascii="宋体" w:hAnsi="宋体" w:cs="宋体"/>
          <w:szCs w:val="21"/>
        </w:rPr>
        <w:t>2.2建设规模：</w:t>
      </w:r>
      <w:r>
        <w:rPr>
          <w:rFonts w:hint="eastAsia" w:ascii="宋体" w:hAnsi="宋体" w:cs="宋体"/>
          <w:szCs w:val="21"/>
        </w:rPr>
        <w:t>景州文体中心（PPP）建设项目</w:t>
      </w:r>
      <w:r>
        <w:rPr>
          <w:rFonts w:ascii="宋体" w:hAnsi="宋体" w:cs="宋体"/>
          <w:szCs w:val="21"/>
        </w:rPr>
        <w:t>总占地面积114000平方米，建设内容包括</w:t>
      </w:r>
      <w:r>
        <w:rPr>
          <w:rFonts w:hint="eastAsia" w:ascii="宋体" w:hAnsi="宋体" w:cs="宋体"/>
          <w:bCs/>
          <w:szCs w:val="21"/>
        </w:rPr>
        <w:t>剧场</w:t>
      </w:r>
      <w:r>
        <w:rPr>
          <w:rFonts w:ascii="宋体" w:hAnsi="宋体" w:cs="宋体"/>
          <w:bCs/>
          <w:szCs w:val="21"/>
        </w:rPr>
        <w:t>/</w:t>
      </w:r>
      <w:r>
        <w:rPr>
          <w:rFonts w:hint="eastAsia" w:ascii="宋体" w:hAnsi="宋体" w:cs="宋体"/>
          <w:bCs/>
          <w:szCs w:val="21"/>
        </w:rPr>
        <w:t>文化馆，体育馆，地下餐厅，地下停车场，地下超市，游泳馆，电影院，其他运动场（篮球场），室外景观等</w:t>
      </w:r>
      <w:r>
        <w:rPr>
          <w:rFonts w:hint="eastAsia" w:ascii="宋体" w:hAnsi="宋体" w:cs="宋体"/>
          <w:szCs w:val="21"/>
        </w:rPr>
        <w:t>。</w:t>
      </w:r>
    </w:p>
    <w:p>
      <w:pPr>
        <w:widowControl/>
        <w:tabs>
          <w:tab w:val="left" w:pos="900"/>
          <w:tab w:val="left" w:pos="1100"/>
        </w:tabs>
        <w:spacing w:line="360" w:lineRule="auto"/>
        <w:ind w:firstLine="420" w:firstLineChars="200"/>
        <w:rPr>
          <w:rFonts w:ascii="宋体" w:hAnsi="宋体" w:cs="宋体"/>
          <w:szCs w:val="21"/>
        </w:rPr>
      </w:pPr>
      <w:r>
        <w:rPr>
          <w:rFonts w:hint="eastAsia" w:ascii="宋体" w:hAnsi="宋体" w:cs="宋体"/>
          <w:szCs w:val="21"/>
        </w:rPr>
        <w:t>2.3招标范围：电影场馆委托运营服务项目</w:t>
      </w:r>
    </w:p>
    <w:p>
      <w:pPr>
        <w:widowControl/>
        <w:tabs>
          <w:tab w:val="left" w:pos="900"/>
          <w:tab w:val="left" w:pos="1100"/>
        </w:tabs>
        <w:spacing w:line="360" w:lineRule="auto"/>
        <w:ind w:firstLine="420" w:firstLineChars="200"/>
        <w:rPr>
          <w:rFonts w:ascii="宋体" w:hAnsi="宋体" w:cs="宋体"/>
          <w:szCs w:val="21"/>
        </w:rPr>
      </w:pPr>
      <w:r>
        <w:rPr>
          <w:rFonts w:hint="eastAsia" w:ascii="宋体" w:hAnsi="宋体" w:cs="宋体"/>
          <w:szCs w:val="21"/>
        </w:rPr>
        <w:t>2.4标段划分：本项目招标共设一个标段</w:t>
      </w:r>
    </w:p>
    <w:p>
      <w:pPr>
        <w:widowControl/>
        <w:tabs>
          <w:tab w:val="left" w:pos="900"/>
          <w:tab w:val="left" w:pos="1100"/>
        </w:tabs>
        <w:spacing w:line="360" w:lineRule="auto"/>
        <w:ind w:firstLine="420" w:firstLineChars="200"/>
        <w:rPr>
          <w:rFonts w:ascii="宋体" w:hAnsi="宋体" w:cs="宋体"/>
          <w:szCs w:val="21"/>
        </w:rPr>
      </w:pPr>
      <w:r>
        <w:rPr>
          <w:rFonts w:hint="eastAsia" w:ascii="宋体" w:hAnsi="宋体" w:cs="宋体"/>
          <w:szCs w:val="21"/>
        </w:rPr>
        <w:t>2.5运营服务期限：12年</w:t>
      </w:r>
    </w:p>
    <w:p>
      <w:pPr>
        <w:pStyle w:val="5"/>
        <w:rPr>
          <w:sz w:val="24"/>
          <w:szCs w:val="28"/>
        </w:rPr>
      </w:pPr>
      <w:bookmarkStart w:id="42" w:name="_Toc15551"/>
      <w:bookmarkStart w:id="43" w:name="_Toc23265"/>
      <w:bookmarkStart w:id="44" w:name="_Toc21002"/>
      <w:bookmarkStart w:id="45" w:name="_Toc3677"/>
      <w:bookmarkStart w:id="46" w:name="_Toc30429"/>
      <w:r>
        <w:rPr>
          <w:rFonts w:hint="eastAsia"/>
          <w:sz w:val="24"/>
          <w:szCs w:val="28"/>
        </w:rPr>
        <w:t>3. 投标人资格要求</w:t>
      </w:r>
      <w:bookmarkEnd w:id="40"/>
      <w:bookmarkEnd w:id="41"/>
      <w:bookmarkEnd w:id="42"/>
      <w:bookmarkEnd w:id="43"/>
      <w:bookmarkEnd w:id="44"/>
      <w:bookmarkEnd w:id="45"/>
      <w:bookmarkEnd w:id="46"/>
    </w:p>
    <w:bookmarkEnd w:id="29"/>
    <w:bookmarkEnd w:id="30"/>
    <w:p>
      <w:pPr>
        <w:spacing w:line="336" w:lineRule="auto"/>
        <w:ind w:firstLine="420" w:firstLineChars="200"/>
        <w:rPr>
          <w:rFonts w:ascii="宋体" w:hAnsi="宋体" w:cs="宋体"/>
          <w:szCs w:val="21"/>
          <w:u w:val="single"/>
        </w:rPr>
      </w:pPr>
      <w:r>
        <w:rPr>
          <w:rFonts w:ascii="宋体" w:hAnsi="宋体" w:cs="宋体"/>
          <w:szCs w:val="21"/>
        </w:rPr>
        <w:t>本次招标要求投标人须具备</w:t>
      </w:r>
      <w:r>
        <w:rPr>
          <w:rFonts w:hint="eastAsia" w:ascii="宋体" w:hAnsi="宋体" w:cs="宋体"/>
          <w:szCs w:val="21"/>
          <w:u w:val="single"/>
        </w:rPr>
        <w:t>1)</w:t>
      </w:r>
      <w:r>
        <w:rPr>
          <w:rFonts w:ascii="宋体" w:hAnsi="宋体"/>
          <w:szCs w:val="21"/>
          <w:u w:val="single"/>
        </w:rPr>
        <w:t>电影院承包商必须是在中国境内注册成立并有效存续的企业法人，没有处于被吊销营业执照、责令关闭或者被撤销等不良状态</w:t>
      </w:r>
      <w:r>
        <w:rPr>
          <w:rFonts w:hint="eastAsia" w:ascii="宋体" w:hAnsi="宋体" w:cs="宋体"/>
          <w:szCs w:val="21"/>
          <w:u w:val="single"/>
        </w:rPr>
        <w:t>；</w:t>
      </w:r>
      <w:r>
        <w:rPr>
          <w:rFonts w:hint="eastAsia" w:ascii="宋体" w:hAnsi="宋体"/>
          <w:szCs w:val="21"/>
          <w:u w:val="single"/>
        </w:rPr>
        <w:t>2）申请人注册资本金不低于人民币500万元（或等值外币，汇率以招标公告发布之日中国人民银行外汇牌价中卖出价为准）；3）申请人在近五年内（201</w:t>
      </w:r>
      <w:r>
        <w:rPr>
          <w:rFonts w:ascii="宋体" w:hAnsi="宋体"/>
          <w:szCs w:val="21"/>
          <w:u w:val="single"/>
        </w:rPr>
        <w:t>5</w:t>
      </w:r>
      <w:r>
        <w:rPr>
          <w:rFonts w:hint="eastAsia" w:ascii="宋体" w:hAnsi="宋体"/>
          <w:szCs w:val="21"/>
          <w:u w:val="single"/>
        </w:rPr>
        <w:t>年</w:t>
      </w:r>
      <w:r>
        <w:rPr>
          <w:rFonts w:ascii="宋体" w:hAnsi="宋体"/>
          <w:szCs w:val="21"/>
          <w:u w:val="single"/>
        </w:rPr>
        <w:t>4</w:t>
      </w:r>
      <w:r>
        <w:rPr>
          <w:rFonts w:hint="eastAsia" w:ascii="宋体" w:hAnsi="宋体"/>
          <w:szCs w:val="21"/>
          <w:u w:val="single"/>
        </w:rPr>
        <w:t>月1日至今，以签订合同日期为准）至少有一个以上与本影院体量相当的电影院运营业绩（包括正在运营项目）条件；</w:t>
      </w:r>
      <w:r>
        <w:rPr>
          <w:rFonts w:hint="eastAsia" w:ascii="宋体" w:hAnsi="宋体" w:cs="宋体"/>
          <w:szCs w:val="21"/>
          <w:u w:val="single"/>
        </w:rPr>
        <w:t>4）</w:t>
      </w:r>
      <w:r>
        <w:rPr>
          <w:rFonts w:hint="eastAsia" w:ascii="宋体" w:hAnsi="宋体"/>
          <w:szCs w:val="21"/>
          <w:u w:val="single"/>
        </w:rPr>
        <w:t>申请人应具备与国家正规院线签订的合作协议书</w:t>
      </w:r>
      <w:r>
        <w:rPr>
          <w:rFonts w:ascii="宋体" w:hAnsi="宋体"/>
          <w:szCs w:val="21"/>
          <w:u w:val="single"/>
        </w:rPr>
        <w:t>。</w:t>
      </w:r>
    </w:p>
    <w:p>
      <w:pPr>
        <w:widowControl/>
        <w:numPr>
          <w:ilvl w:val="255"/>
          <w:numId w:val="0"/>
        </w:numPr>
        <w:spacing w:line="360" w:lineRule="auto"/>
        <w:ind w:left="400"/>
        <w:rPr>
          <w:rFonts w:ascii="宋体" w:hAnsi="宋体" w:cs="宋体"/>
          <w:szCs w:val="21"/>
        </w:rPr>
      </w:pPr>
      <w:r>
        <w:rPr>
          <w:rFonts w:ascii="宋体" w:hAnsi="宋体" w:cs="宋体"/>
          <w:szCs w:val="21"/>
        </w:rPr>
        <w:t>本次招标</w:t>
      </w:r>
      <w:r>
        <w:rPr>
          <w:rFonts w:ascii="宋体" w:hAnsi="宋体" w:cs="宋体"/>
          <w:szCs w:val="21"/>
          <w:u w:val="single"/>
        </w:rPr>
        <w:t xml:space="preserve"> 不接受 </w:t>
      </w:r>
      <w:r>
        <w:rPr>
          <w:rFonts w:ascii="宋体" w:hAnsi="宋体" w:cs="宋体"/>
          <w:szCs w:val="21"/>
        </w:rPr>
        <w:t>（接受或不接受）联合体投标。</w:t>
      </w:r>
    </w:p>
    <w:p>
      <w:pPr>
        <w:pStyle w:val="5"/>
        <w:rPr>
          <w:sz w:val="24"/>
          <w:szCs w:val="28"/>
        </w:rPr>
      </w:pPr>
      <w:bookmarkStart w:id="47" w:name="_Toc19265"/>
      <w:bookmarkStart w:id="48" w:name="_Toc1427"/>
      <w:bookmarkStart w:id="49" w:name="_Toc559"/>
      <w:bookmarkStart w:id="50" w:name="_Toc16481"/>
      <w:bookmarkStart w:id="51" w:name="_Toc11365"/>
      <w:r>
        <w:rPr>
          <w:rFonts w:hint="eastAsia"/>
          <w:sz w:val="24"/>
          <w:szCs w:val="28"/>
        </w:rPr>
        <w:t>4</w:t>
      </w:r>
      <w:r>
        <w:rPr>
          <w:rFonts w:hint="eastAsia"/>
          <w:b/>
          <w:szCs w:val="24"/>
        </w:rPr>
        <w:t xml:space="preserve">. </w:t>
      </w:r>
      <w:r>
        <w:rPr>
          <w:rFonts w:hint="eastAsia"/>
          <w:sz w:val="24"/>
          <w:szCs w:val="28"/>
        </w:rPr>
        <w:t>招标文件发售及资格审查</w:t>
      </w:r>
      <w:bookmarkEnd w:id="47"/>
      <w:bookmarkEnd w:id="48"/>
      <w:bookmarkEnd w:id="49"/>
      <w:bookmarkEnd w:id="50"/>
      <w:bookmarkEnd w:id="51"/>
    </w:p>
    <w:p>
      <w:pPr>
        <w:widowControl/>
        <w:numPr>
          <w:ilvl w:val="255"/>
          <w:numId w:val="0"/>
        </w:numPr>
        <w:spacing w:line="360" w:lineRule="auto"/>
        <w:ind w:firstLine="420" w:firstLineChars="200"/>
        <w:rPr>
          <w:rFonts w:ascii="宋体" w:hAnsi="宋体" w:cs="宋体"/>
          <w:szCs w:val="21"/>
        </w:rPr>
      </w:pPr>
      <w:r>
        <w:rPr>
          <w:rFonts w:ascii="宋体" w:hAnsi="宋体" w:cs="宋体"/>
        </w:rPr>
        <w:t>招标文件发售地点 ：</w:t>
      </w:r>
      <w:r>
        <w:rPr>
          <w:rFonts w:hint="eastAsia" w:ascii="宋体" w:hAnsi="宋体" w:cs="宋体"/>
          <w:szCs w:val="21"/>
        </w:rPr>
        <w:t>登录河北建工物流电子招投标交易平台（http://webbiao.com）自主网上报名、下载招标文件等相关资料。</w:t>
      </w:r>
    </w:p>
    <w:p>
      <w:pPr>
        <w:widowControl/>
        <w:numPr>
          <w:ilvl w:val="255"/>
          <w:numId w:val="0"/>
        </w:numPr>
        <w:spacing w:line="360" w:lineRule="auto"/>
        <w:ind w:firstLine="420" w:firstLineChars="200"/>
        <w:rPr>
          <w:rFonts w:ascii="宋体" w:hAnsi="宋体" w:cs="宋体"/>
        </w:rPr>
      </w:pPr>
      <w:r>
        <w:rPr>
          <w:rFonts w:hint="eastAsia" w:ascii="宋体" w:hAnsi="宋体" w:cs="宋体"/>
        </w:rPr>
        <w:t>发售时间：</w:t>
      </w:r>
      <w:r>
        <w:rPr>
          <w:rFonts w:hint="eastAsia" w:ascii="宋体" w:hAnsi="宋体" w:cs="宋体"/>
          <w:color w:val="auto"/>
        </w:rPr>
        <w:t>20</w:t>
      </w:r>
      <w:r>
        <w:rPr>
          <w:rFonts w:ascii="宋体" w:hAnsi="宋体" w:cs="宋体"/>
          <w:color w:val="auto"/>
        </w:rPr>
        <w:t>20</w:t>
      </w:r>
      <w:r>
        <w:rPr>
          <w:rFonts w:hint="eastAsia" w:ascii="宋体" w:hAnsi="宋体" w:cs="宋体"/>
          <w:color w:val="auto"/>
        </w:rPr>
        <w:t>年</w:t>
      </w:r>
      <w:r>
        <w:rPr>
          <w:rFonts w:ascii="宋体" w:hAnsi="宋体" w:cs="宋体"/>
          <w:color w:val="auto"/>
        </w:rPr>
        <w:t>4</w:t>
      </w:r>
      <w:r>
        <w:rPr>
          <w:rFonts w:hint="eastAsia" w:ascii="宋体" w:hAnsi="宋体" w:cs="宋体"/>
          <w:color w:val="auto"/>
        </w:rPr>
        <w:t>月</w:t>
      </w:r>
      <w:r>
        <w:rPr>
          <w:rFonts w:ascii="宋体" w:hAnsi="宋体" w:cs="宋体"/>
          <w:color w:val="auto"/>
        </w:rPr>
        <w:t>20</w:t>
      </w:r>
      <w:r>
        <w:rPr>
          <w:rFonts w:hint="eastAsia" w:ascii="宋体" w:hAnsi="宋体" w:cs="宋体"/>
          <w:color w:val="auto"/>
        </w:rPr>
        <w:t>日8：00-20</w:t>
      </w:r>
      <w:r>
        <w:rPr>
          <w:rFonts w:ascii="宋体" w:hAnsi="宋体" w:cs="宋体"/>
          <w:color w:val="auto"/>
        </w:rPr>
        <w:t>20</w:t>
      </w:r>
      <w:r>
        <w:rPr>
          <w:rFonts w:hint="eastAsia" w:ascii="宋体" w:hAnsi="宋体" w:cs="宋体"/>
          <w:color w:val="auto"/>
        </w:rPr>
        <w:t>年</w:t>
      </w:r>
      <w:r>
        <w:rPr>
          <w:rFonts w:ascii="宋体" w:hAnsi="宋体" w:cs="宋体"/>
          <w:color w:val="auto"/>
        </w:rPr>
        <w:t>4</w:t>
      </w:r>
      <w:r>
        <w:rPr>
          <w:rFonts w:hint="eastAsia" w:ascii="宋体" w:hAnsi="宋体" w:cs="宋体"/>
          <w:color w:val="auto"/>
        </w:rPr>
        <w:t>月</w:t>
      </w:r>
      <w:r>
        <w:rPr>
          <w:rFonts w:ascii="宋体" w:hAnsi="宋体" w:cs="宋体"/>
          <w:color w:val="auto"/>
        </w:rPr>
        <w:t>22</w:t>
      </w:r>
      <w:r>
        <w:rPr>
          <w:rFonts w:hint="eastAsia" w:ascii="宋体" w:hAnsi="宋体" w:cs="宋体"/>
          <w:color w:val="auto"/>
        </w:rPr>
        <w:t>日18：00，</w:t>
      </w:r>
      <w:r>
        <w:rPr>
          <w:rFonts w:hint="eastAsia" w:ascii="宋体" w:hAnsi="宋体" w:cs="宋体"/>
        </w:rPr>
        <w:t>期间报名人携带资格审查资料赴招标人所在地（</w:t>
      </w:r>
      <w:r>
        <w:rPr>
          <w:rFonts w:hint="eastAsia" w:asciiTheme="minorEastAsia" w:hAnsiTheme="minorEastAsia" w:cstheme="minorEastAsia"/>
          <w:szCs w:val="21"/>
        </w:rPr>
        <w:t>河北省衡水市景县景新大街水木人家6层</w:t>
      </w:r>
      <w:r>
        <w:rPr>
          <w:rFonts w:hint="eastAsia" w:ascii="宋体" w:hAnsi="宋体" w:cs="宋体"/>
        </w:rPr>
        <w:t>）进行资格审查。</w:t>
      </w:r>
    </w:p>
    <w:p>
      <w:pPr>
        <w:widowControl/>
        <w:spacing w:line="360" w:lineRule="auto"/>
        <w:ind w:firstLine="420" w:firstLineChars="200"/>
        <w:rPr>
          <w:rFonts w:ascii="宋体" w:hAnsi="宋体" w:cs="宋体"/>
          <w:szCs w:val="21"/>
        </w:rPr>
      </w:pPr>
      <w:r>
        <w:rPr>
          <w:rFonts w:hint="eastAsia" w:ascii="宋体" w:hAnsi="宋体" w:cs="宋体"/>
          <w:szCs w:val="21"/>
        </w:rPr>
        <w:t>审查时，投标人需向招标人提交资格审查资料：</w:t>
      </w:r>
    </w:p>
    <w:p>
      <w:pPr>
        <w:widowControl/>
        <w:spacing w:line="360" w:lineRule="auto"/>
        <w:ind w:firstLine="420" w:firstLineChars="200"/>
        <w:rPr>
          <w:rFonts w:ascii="宋体" w:hAnsi="宋体" w:cs="宋体"/>
          <w:szCs w:val="21"/>
        </w:rPr>
      </w:pPr>
      <w:r>
        <w:rPr>
          <w:rFonts w:hint="eastAsia" w:ascii="宋体" w:hAnsi="宋体" w:cs="宋体"/>
          <w:szCs w:val="21"/>
        </w:rPr>
        <w:t>（1）投标单位法定代表人身份证明书原件</w:t>
      </w:r>
    </w:p>
    <w:p>
      <w:pPr>
        <w:widowControl/>
        <w:spacing w:line="360" w:lineRule="auto"/>
        <w:ind w:firstLine="420" w:firstLineChars="200"/>
        <w:rPr>
          <w:rFonts w:ascii="宋体" w:hAnsi="宋体" w:cs="宋体"/>
          <w:szCs w:val="21"/>
        </w:rPr>
      </w:pPr>
      <w:r>
        <w:rPr>
          <w:rFonts w:hint="eastAsia" w:ascii="宋体" w:hAnsi="宋体" w:cs="宋体"/>
          <w:szCs w:val="21"/>
        </w:rPr>
        <w:t>（2）法定代表人授权委托书原件</w:t>
      </w:r>
    </w:p>
    <w:p>
      <w:pPr>
        <w:widowControl/>
        <w:spacing w:line="360" w:lineRule="auto"/>
        <w:ind w:firstLine="420" w:firstLineChars="200"/>
        <w:rPr>
          <w:rFonts w:ascii="宋体" w:hAnsi="宋体" w:cs="宋体"/>
          <w:szCs w:val="21"/>
        </w:rPr>
      </w:pPr>
      <w:r>
        <w:rPr>
          <w:rFonts w:hint="eastAsia" w:ascii="宋体" w:hAnsi="宋体" w:cs="宋体"/>
          <w:szCs w:val="21"/>
        </w:rPr>
        <w:t>（3）营业执照复印件（加盖公章）</w:t>
      </w:r>
    </w:p>
    <w:p>
      <w:pPr>
        <w:pStyle w:val="2"/>
        <w:ind w:left="0" w:leftChars="0" w:firstLine="420"/>
        <w:rPr>
          <w:rFonts w:hint="default" w:ascii="宋体" w:hAnsi="宋体" w:cs="宋体"/>
          <w:szCs w:val="21"/>
        </w:rPr>
      </w:pPr>
      <w:r>
        <w:rPr>
          <w:rFonts w:ascii="宋体" w:hAnsi="宋体" w:cs="宋体"/>
          <w:szCs w:val="21"/>
        </w:rPr>
        <w:t>（4）运营业绩合同文件复印件（加盖公章）</w:t>
      </w:r>
    </w:p>
    <w:p>
      <w:pPr>
        <w:pStyle w:val="2"/>
        <w:ind w:left="0" w:leftChars="0" w:firstLine="420"/>
        <w:rPr>
          <w:rFonts w:hint="default" w:ascii="宋体" w:hAnsi="宋体" w:cs="宋体"/>
          <w:szCs w:val="21"/>
        </w:rPr>
      </w:pPr>
      <w:r>
        <w:rPr>
          <w:rFonts w:ascii="宋体" w:hAnsi="宋体" w:cs="宋体"/>
          <w:szCs w:val="21"/>
        </w:rPr>
        <w:t>（5）院线合作协议书复印件（加盖公章）</w:t>
      </w:r>
    </w:p>
    <w:p>
      <w:pPr>
        <w:pStyle w:val="2"/>
        <w:ind w:left="0" w:leftChars="0" w:firstLine="422"/>
        <w:rPr>
          <w:rFonts w:hint="default" w:ascii="宋体" w:hAnsi="宋体" w:cs="宋体"/>
          <w:b/>
          <w:bCs/>
          <w:szCs w:val="21"/>
        </w:rPr>
      </w:pPr>
      <w:r>
        <w:rPr>
          <w:rFonts w:ascii="宋体" w:hAnsi="宋体" w:cs="宋体"/>
          <w:b/>
          <w:bCs/>
          <w:szCs w:val="21"/>
        </w:rPr>
        <w:t>注：以上文件按顺序单独存放于档案袋里，档案袋外标注公司名称。</w:t>
      </w:r>
    </w:p>
    <w:p>
      <w:pPr>
        <w:pStyle w:val="5"/>
        <w:rPr>
          <w:sz w:val="24"/>
          <w:szCs w:val="28"/>
        </w:rPr>
      </w:pPr>
      <w:bookmarkStart w:id="52" w:name="_Toc14812"/>
      <w:bookmarkStart w:id="53" w:name="_Toc26680"/>
      <w:bookmarkStart w:id="54" w:name="_Toc15457"/>
      <w:bookmarkStart w:id="55" w:name="_Toc21495"/>
      <w:bookmarkStart w:id="56" w:name="_Toc11611"/>
      <w:r>
        <w:rPr>
          <w:rFonts w:hint="eastAsia"/>
          <w:sz w:val="24"/>
          <w:szCs w:val="28"/>
        </w:rPr>
        <w:t>5</w:t>
      </w:r>
      <w:r>
        <w:rPr>
          <w:rFonts w:hint="eastAsia"/>
          <w:b/>
          <w:szCs w:val="24"/>
        </w:rPr>
        <w:t xml:space="preserve">. </w:t>
      </w:r>
      <w:bookmarkEnd w:id="52"/>
      <w:bookmarkEnd w:id="53"/>
      <w:bookmarkEnd w:id="54"/>
      <w:r>
        <w:rPr>
          <w:rFonts w:hint="eastAsia"/>
          <w:sz w:val="24"/>
          <w:szCs w:val="28"/>
        </w:rPr>
        <w:t>合格投标人名单公布</w:t>
      </w:r>
      <w:bookmarkEnd w:id="55"/>
      <w:bookmarkEnd w:id="56"/>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highlight w:val="none"/>
          <w:shd w:val="clear" w:color="auto" w:fill="auto"/>
        </w:rPr>
        <w:t>20</w:t>
      </w:r>
      <w:r>
        <w:rPr>
          <w:rFonts w:ascii="宋体" w:hAnsi="宋体" w:cs="宋体"/>
          <w:color w:val="auto"/>
          <w:szCs w:val="21"/>
          <w:highlight w:val="none"/>
          <w:shd w:val="clear" w:color="auto" w:fill="auto"/>
        </w:rPr>
        <w:t>20</w:t>
      </w:r>
      <w:r>
        <w:rPr>
          <w:rFonts w:hint="eastAsia" w:ascii="宋体" w:hAnsi="宋体" w:cs="宋体"/>
          <w:color w:val="auto"/>
          <w:szCs w:val="21"/>
          <w:highlight w:val="none"/>
          <w:shd w:val="clear" w:color="auto" w:fill="auto"/>
        </w:rPr>
        <w:t>年</w:t>
      </w:r>
      <w:r>
        <w:rPr>
          <w:rFonts w:ascii="宋体" w:hAnsi="宋体" w:cs="宋体"/>
          <w:color w:val="auto"/>
          <w:szCs w:val="21"/>
          <w:highlight w:val="none"/>
          <w:shd w:val="clear" w:color="auto" w:fill="auto"/>
        </w:rPr>
        <w:t>4</w:t>
      </w:r>
      <w:r>
        <w:rPr>
          <w:rFonts w:hint="eastAsia" w:ascii="宋体" w:hAnsi="宋体" w:cs="宋体"/>
          <w:color w:val="auto"/>
          <w:szCs w:val="21"/>
          <w:highlight w:val="none"/>
          <w:shd w:val="clear" w:color="auto" w:fill="auto"/>
        </w:rPr>
        <w:t>月</w:t>
      </w:r>
      <w:r>
        <w:rPr>
          <w:rFonts w:ascii="宋体" w:hAnsi="宋体" w:cs="宋体"/>
          <w:color w:val="auto"/>
          <w:szCs w:val="21"/>
          <w:highlight w:val="none"/>
          <w:shd w:val="clear" w:color="auto" w:fill="auto"/>
        </w:rPr>
        <w:t>24</w:t>
      </w:r>
      <w:r>
        <w:rPr>
          <w:rFonts w:hint="eastAsia" w:ascii="宋体" w:hAnsi="宋体" w:cs="宋体"/>
          <w:color w:val="auto"/>
          <w:szCs w:val="21"/>
          <w:highlight w:val="none"/>
          <w:shd w:val="clear" w:color="auto" w:fill="auto"/>
        </w:rPr>
        <w:t>日资格审查结束后，</w:t>
      </w:r>
      <w:r>
        <w:rPr>
          <w:rFonts w:hint="eastAsia" w:ascii="宋体" w:hAnsi="宋体" w:cs="宋体"/>
          <w:color w:val="auto"/>
          <w:szCs w:val="21"/>
        </w:rPr>
        <w:t>确定最终符合本次招标要求的投标人名单，由我公司以电话形式通知合格的投标人。</w:t>
      </w:r>
    </w:p>
    <w:p>
      <w:pPr>
        <w:pStyle w:val="5"/>
        <w:numPr>
          <w:ilvl w:val="0"/>
          <w:numId w:val="2"/>
        </w:numPr>
        <w:rPr>
          <w:sz w:val="24"/>
          <w:szCs w:val="28"/>
        </w:rPr>
      </w:pPr>
      <w:bookmarkStart w:id="57" w:name="_Toc18912"/>
      <w:r>
        <w:rPr>
          <w:rFonts w:hint="eastAsia"/>
          <w:sz w:val="24"/>
          <w:szCs w:val="28"/>
        </w:rPr>
        <w:t xml:space="preserve"> </w:t>
      </w:r>
      <w:bookmarkStart w:id="58" w:name="_Toc51"/>
      <w:r>
        <w:rPr>
          <w:rFonts w:hint="eastAsia"/>
          <w:sz w:val="24"/>
          <w:szCs w:val="28"/>
        </w:rPr>
        <w:t>开标时间</w:t>
      </w:r>
      <w:bookmarkEnd w:id="57"/>
      <w:bookmarkEnd w:id="58"/>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通过资格审查的投标人，20</w:t>
      </w:r>
      <w:r>
        <w:rPr>
          <w:rFonts w:ascii="宋体" w:hAnsi="宋体" w:cs="宋体"/>
          <w:color w:val="auto"/>
          <w:szCs w:val="21"/>
        </w:rPr>
        <w:t>20</w:t>
      </w:r>
      <w:r>
        <w:rPr>
          <w:rFonts w:hint="eastAsia" w:ascii="宋体" w:hAnsi="宋体" w:cs="宋体"/>
          <w:color w:val="auto"/>
          <w:szCs w:val="21"/>
        </w:rPr>
        <w:t>年</w:t>
      </w:r>
      <w:r>
        <w:rPr>
          <w:rFonts w:ascii="宋体" w:hAnsi="宋体" w:cs="宋体"/>
          <w:color w:val="auto"/>
          <w:szCs w:val="21"/>
        </w:rPr>
        <w:t>4</w:t>
      </w:r>
      <w:r>
        <w:rPr>
          <w:rFonts w:hint="eastAsia" w:ascii="宋体" w:hAnsi="宋体" w:cs="宋体"/>
          <w:color w:val="auto"/>
          <w:szCs w:val="21"/>
        </w:rPr>
        <w:t>月</w:t>
      </w:r>
      <w:r>
        <w:rPr>
          <w:rFonts w:ascii="宋体" w:hAnsi="宋体" w:cs="宋体"/>
          <w:color w:val="auto"/>
          <w:szCs w:val="21"/>
        </w:rPr>
        <w:t>28</w:t>
      </w:r>
      <w:r>
        <w:rPr>
          <w:rFonts w:hint="eastAsia" w:ascii="宋体" w:hAnsi="宋体" w:cs="宋体"/>
          <w:color w:val="auto"/>
          <w:szCs w:val="21"/>
        </w:rPr>
        <w:t>日09：30在河北建工物流电子招投标交易平台进行统一报价，本次网上报价为最终报价，列入最终综合评分项；</w:t>
      </w:r>
    </w:p>
    <w:p>
      <w:pPr>
        <w:widowControl/>
        <w:spacing w:line="360" w:lineRule="auto"/>
        <w:ind w:firstLine="420" w:firstLineChars="200"/>
        <w:rPr>
          <w:rFonts w:ascii="宋体" w:hAnsi="宋体" w:eastAsia="宋体" w:cs="宋体"/>
          <w:color w:val="auto"/>
          <w:szCs w:val="21"/>
        </w:rPr>
      </w:pPr>
      <w:r>
        <w:rPr>
          <w:rFonts w:hint="eastAsia" w:ascii="宋体" w:hAnsi="宋体" w:cs="宋体"/>
          <w:color w:val="auto"/>
          <w:szCs w:val="21"/>
        </w:rPr>
        <w:t>20</w:t>
      </w:r>
      <w:r>
        <w:rPr>
          <w:rFonts w:ascii="宋体" w:hAnsi="宋体" w:cs="宋体"/>
          <w:color w:val="auto"/>
          <w:szCs w:val="21"/>
        </w:rPr>
        <w:t>20</w:t>
      </w:r>
      <w:r>
        <w:rPr>
          <w:rFonts w:hint="eastAsia" w:ascii="宋体" w:hAnsi="宋体" w:cs="宋体"/>
          <w:color w:val="auto"/>
          <w:szCs w:val="21"/>
        </w:rPr>
        <w:t>年</w:t>
      </w:r>
      <w:r>
        <w:rPr>
          <w:rFonts w:ascii="宋体" w:hAnsi="宋体" w:cs="宋体"/>
          <w:color w:val="auto"/>
          <w:szCs w:val="21"/>
        </w:rPr>
        <w:t>4</w:t>
      </w:r>
      <w:r>
        <w:rPr>
          <w:rFonts w:hint="eastAsia" w:ascii="宋体" w:hAnsi="宋体" w:cs="宋体"/>
          <w:color w:val="auto"/>
          <w:szCs w:val="21"/>
        </w:rPr>
        <w:t>月</w:t>
      </w:r>
      <w:r>
        <w:rPr>
          <w:rFonts w:ascii="宋体" w:hAnsi="宋体" w:cs="宋体"/>
          <w:color w:val="auto"/>
          <w:szCs w:val="21"/>
        </w:rPr>
        <w:t>30</w:t>
      </w:r>
      <w:r>
        <w:rPr>
          <w:rFonts w:hint="eastAsia" w:ascii="宋体" w:hAnsi="宋体" w:cs="宋体"/>
          <w:color w:val="auto"/>
          <w:szCs w:val="21"/>
        </w:rPr>
        <w:t>日09：30投标人携带投标文件赴开标地点进行评标，投标截止时间同开标时间，逾期送达的投标文件，予以拒收。</w:t>
      </w:r>
      <w:bookmarkStart w:id="59" w:name="_Toc3284"/>
      <w:bookmarkStart w:id="60" w:name="_Toc22100"/>
    </w:p>
    <w:p>
      <w:pPr>
        <w:pStyle w:val="5"/>
        <w:rPr>
          <w:sz w:val="24"/>
          <w:szCs w:val="28"/>
        </w:rPr>
      </w:pPr>
      <w:bookmarkStart w:id="61" w:name="_Toc21961"/>
      <w:bookmarkStart w:id="62" w:name="_Toc19436"/>
      <w:bookmarkStart w:id="63" w:name="_Toc10015"/>
      <w:bookmarkStart w:id="64" w:name="_Toc18920"/>
      <w:bookmarkStart w:id="65" w:name="_Toc23250"/>
      <w:r>
        <w:rPr>
          <w:rFonts w:hint="eastAsia"/>
          <w:sz w:val="24"/>
          <w:szCs w:val="28"/>
        </w:rPr>
        <w:t>7</w:t>
      </w:r>
      <w:r>
        <w:rPr>
          <w:rFonts w:hint="eastAsia"/>
          <w:b/>
          <w:szCs w:val="24"/>
        </w:rPr>
        <w:t xml:space="preserve">. </w:t>
      </w:r>
      <w:bookmarkEnd w:id="59"/>
      <w:bookmarkEnd w:id="60"/>
      <w:bookmarkEnd w:id="61"/>
      <w:bookmarkEnd w:id="62"/>
      <w:bookmarkEnd w:id="63"/>
      <w:r>
        <w:rPr>
          <w:rFonts w:hint="eastAsia"/>
          <w:sz w:val="24"/>
          <w:szCs w:val="28"/>
        </w:rPr>
        <w:t>开标地点</w:t>
      </w:r>
      <w:bookmarkEnd w:id="64"/>
      <w:bookmarkEnd w:id="65"/>
    </w:p>
    <w:p>
      <w:pPr>
        <w:spacing w:line="360" w:lineRule="auto"/>
        <w:ind w:firstLine="420" w:firstLineChars="200"/>
        <w:rPr>
          <w:szCs w:val="21"/>
        </w:rPr>
      </w:pPr>
      <w:r>
        <w:rPr>
          <w:rFonts w:hint="eastAsia" w:asciiTheme="minorEastAsia" w:hAnsiTheme="minorEastAsia" w:cstheme="minorEastAsia"/>
          <w:szCs w:val="21"/>
        </w:rPr>
        <w:t>河北省衡水市景县景新大街水木人家6层</w:t>
      </w:r>
      <w:r>
        <w:rPr>
          <w:rFonts w:hint="eastAsia" w:asciiTheme="minorEastAsia" w:hAnsiTheme="minorEastAsia" w:cstheme="minorEastAsia"/>
          <w:szCs w:val="21"/>
          <w:lang w:val="en-US" w:eastAsia="zh-CN"/>
        </w:rPr>
        <w:t>612室</w:t>
      </w:r>
      <w:r>
        <w:rPr>
          <w:szCs w:val="21"/>
        </w:rPr>
        <w:t>。</w:t>
      </w:r>
    </w:p>
    <w:p>
      <w:pPr>
        <w:pStyle w:val="5"/>
        <w:rPr>
          <w:sz w:val="24"/>
          <w:szCs w:val="28"/>
        </w:rPr>
      </w:pPr>
      <w:bookmarkStart w:id="66" w:name="_Toc5229"/>
      <w:bookmarkStart w:id="67" w:name="_Toc31225"/>
      <w:bookmarkStart w:id="68" w:name="_Toc6681"/>
      <w:bookmarkStart w:id="69" w:name="_Toc2223"/>
      <w:bookmarkStart w:id="70" w:name="_Toc30557"/>
      <w:r>
        <w:rPr>
          <w:rFonts w:hint="eastAsia"/>
          <w:sz w:val="24"/>
          <w:szCs w:val="28"/>
        </w:rPr>
        <w:t>8</w:t>
      </w:r>
      <w:r>
        <w:rPr>
          <w:rFonts w:hint="eastAsia"/>
          <w:b/>
          <w:szCs w:val="24"/>
        </w:rPr>
        <w:t xml:space="preserve">. </w:t>
      </w:r>
      <w:r>
        <w:rPr>
          <w:rFonts w:hint="eastAsia"/>
          <w:sz w:val="24"/>
          <w:szCs w:val="28"/>
        </w:rPr>
        <w:t>联系方式</w:t>
      </w:r>
      <w:bookmarkEnd w:id="31"/>
      <w:bookmarkEnd w:id="32"/>
      <w:bookmarkEnd w:id="66"/>
      <w:bookmarkEnd w:id="67"/>
      <w:bookmarkEnd w:id="68"/>
      <w:bookmarkEnd w:id="69"/>
      <w:bookmarkEnd w:id="70"/>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招   标   人：景县景州仲舒文体中心有限责任公司</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地        址：河北省衡水市景县景新大街水木人家6层</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联    系  人：郭立辉</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电        话：15931959388</w:t>
      </w:r>
    </w:p>
    <w:p>
      <w:pPr>
        <w:spacing w:line="360" w:lineRule="auto"/>
        <w:ind w:firstLine="420" w:firstLineChars="200"/>
        <w:rPr>
          <w:rFonts w:asciiTheme="minorEastAsia" w:hAnsiTheme="minorEastAsia" w:cstheme="minorEastAsia"/>
          <w:bCs/>
          <w:szCs w:val="21"/>
        </w:rPr>
      </w:pPr>
      <w:r>
        <w:rPr>
          <w:rFonts w:hint="eastAsia" w:asciiTheme="minorEastAsia" w:hAnsiTheme="minorEastAsia" w:cstheme="minorEastAsia"/>
          <w:szCs w:val="21"/>
        </w:rPr>
        <w:t>招标代理机构：</w:t>
      </w:r>
      <w:r>
        <w:rPr>
          <w:rFonts w:hint="eastAsia" w:asciiTheme="minorEastAsia" w:hAnsiTheme="minorEastAsia" w:cstheme="minorEastAsia"/>
          <w:bCs/>
          <w:szCs w:val="21"/>
        </w:rPr>
        <w:t>河北建工物流有限公司</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地        址：河北省石家庄市石获南路66号1#商务楼11楼信息部 </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联   系   人：陈子钰</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电        话：13313018566</w:t>
      </w:r>
    </w:p>
    <w:p>
      <w:pPr>
        <w:tabs>
          <w:tab w:val="center" w:pos="4153"/>
        </w:tabs>
        <w:spacing w:before="312" w:beforeLines="100" w:after="312" w:afterLines="100" w:line="480" w:lineRule="auto"/>
        <w:rPr>
          <w:rFonts w:cs="宋体" w:asciiTheme="minorEastAsia" w:hAnsiTheme="minorEastAsia"/>
          <w:sz w:val="24"/>
        </w:rPr>
      </w:pPr>
      <w:r>
        <w:rPr>
          <w:rFonts w:asciiTheme="minorEastAsia" w:hAnsiTheme="minorEastAsia"/>
          <w:sz w:val="24"/>
        </w:rPr>
        <w:br w:type="page"/>
      </w:r>
    </w:p>
    <w:p>
      <w:bookmarkStart w:id="71" w:name="_Toc21955"/>
      <w:bookmarkStart w:id="72" w:name="_Toc152042303"/>
      <w:bookmarkStart w:id="73" w:name="_Toc247085687"/>
      <w:bookmarkStart w:id="74" w:name="_Toc246996173"/>
      <w:bookmarkStart w:id="75" w:name="_Toc3735_WPSOffice_Level1"/>
      <w:bookmarkStart w:id="76" w:name="_Toc15133_WPSOffice_Level1"/>
      <w:bookmarkStart w:id="77" w:name="_Toc246996916"/>
      <w:bookmarkStart w:id="78" w:name="_Toc152045527"/>
      <w:bookmarkStart w:id="79" w:name="_Toc179632544"/>
      <w:bookmarkStart w:id="80" w:name="_Toc144974495"/>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4"/>
        <w:jc w:val="center"/>
      </w:pPr>
      <w:bookmarkStart w:id="81" w:name="_Toc6292"/>
      <w:bookmarkStart w:id="82" w:name="_Toc1656"/>
      <w:bookmarkStart w:id="83" w:name="_Toc5353"/>
      <w:bookmarkStart w:id="84" w:name="_Toc5248"/>
      <w:bookmarkStart w:id="85" w:name="_Toc11376"/>
      <w:r>
        <w:rPr>
          <w:rFonts w:hint="eastAsia"/>
        </w:rPr>
        <w:t>第二章</w:t>
      </w:r>
      <w:bookmarkStart w:id="86" w:name="_Toc23478"/>
      <w:bookmarkStart w:id="87" w:name="_Toc18826"/>
      <w:r>
        <w:rPr>
          <w:rFonts w:hint="eastAsia"/>
        </w:rPr>
        <w:t>投标人须知</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
        <w:rPr>
          <w:rFonts w:hint="eastAsia"/>
        </w:rPr>
        <w:br w:type="page"/>
      </w:r>
    </w:p>
    <w:p/>
    <w:p>
      <w:pPr>
        <w:pStyle w:val="5"/>
        <w:jc w:val="center"/>
      </w:pPr>
      <w:bookmarkStart w:id="88" w:name="_Toc247085688"/>
      <w:bookmarkStart w:id="89" w:name="_Toc11904"/>
      <w:bookmarkStart w:id="90" w:name="_Toc24819"/>
      <w:bookmarkStart w:id="91" w:name="_Toc11624"/>
      <w:bookmarkStart w:id="92" w:name="_Toc16443"/>
      <w:bookmarkStart w:id="93" w:name="_Toc152042304"/>
      <w:bookmarkStart w:id="94" w:name="_Toc246996917"/>
      <w:bookmarkStart w:id="95" w:name="_Toc15797"/>
      <w:bookmarkStart w:id="96" w:name="_Toc179632545"/>
      <w:bookmarkStart w:id="97" w:name="_Toc17233"/>
      <w:bookmarkStart w:id="98" w:name="_Toc32346"/>
      <w:bookmarkStart w:id="99" w:name="_Toc246996174"/>
      <w:bookmarkStart w:id="100" w:name="_Toc152045528"/>
      <w:bookmarkStart w:id="101" w:name="_Toc144974496"/>
      <w:r>
        <w:rPr>
          <w:rFonts w:hint="eastAsia"/>
        </w:rPr>
        <w:t>投标人须知前附表</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tbl>
      <w:tblPr>
        <w:tblStyle w:val="19"/>
        <w:tblW w:w="9216" w:type="dxa"/>
        <w:jc w:val="center"/>
        <w:tblLayout w:type="fixed"/>
        <w:tblCellMar>
          <w:top w:w="0" w:type="dxa"/>
          <w:left w:w="108" w:type="dxa"/>
          <w:bottom w:w="0" w:type="dxa"/>
          <w:right w:w="108" w:type="dxa"/>
        </w:tblCellMar>
      </w:tblPr>
      <w:tblGrid>
        <w:gridCol w:w="877"/>
        <w:gridCol w:w="3105"/>
        <w:gridCol w:w="5234"/>
      </w:tblGrid>
      <w:tr>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szCs w:val="21"/>
              </w:rPr>
            </w:pPr>
            <w:r>
              <w:rPr>
                <w:rFonts w:hint="eastAsia" w:ascii="宋体" w:hAnsi="宋体" w:eastAsia="宋体" w:cs="宋体"/>
                <w:b/>
                <w:szCs w:val="21"/>
              </w:rPr>
              <w:t>条款号</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szCs w:val="21"/>
              </w:rPr>
            </w:pPr>
            <w:r>
              <w:rPr>
                <w:rFonts w:hint="eastAsia" w:ascii="宋体" w:hAnsi="宋体" w:eastAsia="宋体" w:cs="宋体"/>
                <w:b/>
                <w:szCs w:val="21"/>
              </w:rPr>
              <w:t>条  款  名  称</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szCs w:val="21"/>
              </w:rPr>
            </w:pPr>
            <w:r>
              <w:rPr>
                <w:rFonts w:hint="eastAsia" w:ascii="宋体" w:hAnsi="宋体" w:eastAsia="宋体" w:cs="宋体"/>
                <w:b/>
                <w:szCs w:val="21"/>
              </w:rPr>
              <w:t>编  列  内  容</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1.1.2</w:t>
            </w:r>
          </w:p>
        </w:tc>
        <w:tc>
          <w:tcPr>
            <w:tcW w:w="3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招标人</w:t>
            </w:r>
          </w:p>
        </w:tc>
        <w:tc>
          <w:tcPr>
            <w:tcW w:w="5234" w:type="dxa"/>
            <w:tcBorders>
              <w:top w:val="single" w:color="auto" w:sz="4" w:space="0"/>
              <w:left w:val="single" w:color="auto" w:sz="4" w:space="0"/>
              <w:bottom w:val="single" w:color="auto" w:sz="4" w:space="0"/>
              <w:right w:val="single" w:color="auto" w:sz="4" w:space="0"/>
            </w:tcBorders>
            <w:vAlign w:val="center"/>
          </w:tcPr>
          <w:p>
            <w:pPr>
              <w:snapToGrid w:val="0"/>
              <w:ind w:left="315" w:hanging="315" w:hangingChars="150"/>
              <w:rPr>
                <w:rFonts w:ascii="宋体" w:hAnsi="宋体" w:eastAsia="宋体" w:cs="宋体"/>
                <w:szCs w:val="21"/>
              </w:rPr>
            </w:pPr>
            <w:r>
              <w:rPr>
                <w:rFonts w:hint="eastAsia" w:ascii="宋体" w:hAnsi="宋体" w:eastAsia="宋体" w:cs="宋体"/>
                <w:szCs w:val="21"/>
              </w:rPr>
              <w:t>名称：景县景州仲舒文体中心有限责任公司</w:t>
            </w:r>
          </w:p>
          <w:p>
            <w:pPr>
              <w:snapToGrid w:val="0"/>
              <w:ind w:left="315" w:hanging="315" w:hangingChars="150"/>
              <w:rPr>
                <w:rFonts w:ascii="宋体" w:hAnsi="宋体" w:eastAsia="宋体" w:cs="宋体"/>
                <w:spacing w:val="-6"/>
                <w:szCs w:val="21"/>
              </w:rPr>
            </w:pPr>
            <w:r>
              <w:rPr>
                <w:rFonts w:hint="eastAsia" w:ascii="宋体" w:hAnsi="宋体" w:eastAsia="宋体" w:cs="宋体"/>
                <w:szCs w:val="21"/>
              </w:rPr>
              <w:t>地址：河北省衡水市景县景新大街水木人家6层</w:t>
            </w:r>
          </w:p>
          <w:p>
            <w:pPr>
              <w:snapToGrid w:val="0"/>
              <w:ind w:left="315" w:hanging="315" w:hangingChars="150"/>
              <w:rPr>
                <w:rFonts w:ascii="宋体" w:hAnsi="宋体" w:eastAsia="宋体" w:cs="宋体"/>
                <w:szCs w:val="21"/>
              </w:rPr>
            </w:pPr>
            <w:r>
              <w:rPr>
                <w:rFonts w:hint="eastAsia" w:ascii="宋体" w:hAnsi="宋体" w:eastAsia="宋体" w:cs="宋体"/>
                <w:szCs w:val="21"/>
              </w:rPr>
              <w:t>联系人：郭立辉</w:t>
            </w:r>
          </w:p>
          <w:p>
            <w:pPr>
              <w:snapToGrid w:val="0"/>
              <w:ind w:left="315" w:hanging="315" w:hangingChars="150"/>
              <w:rPr>
                <w:rFonts w:ascii="宋体" w:hAnsi="宋体" w:eastAsia="宋体" w:cs="宋体"/>
                <w:szCs w:val="21"/>
              </w:rPr>
            </w:pPr>
            <w:r>
              <w:rPr>
                <w:rFonts w:hint="eastAsia" w:ascii="宋体" w:hAnsi="宋体" w:eastAsia="宋体" w:cs="宋体"/>
                <w:szCs w:val="21"/>
              </w:rPr>
              <w:t>电话：15931959388</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1.1.3</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招标代理机构</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eastAsia="宋体" w:cs="宋体"/>
                <w:szCs w:val="21"/>
              </w:rPr>
              <w:t>名称：河北建工物流有限公司</w:t>
            </w:r>
          </w:p>
          <w:p>
            <w:pPr>
              <w:adjustRightInd w:val="0"/>
              <w:snapToGrid w:val="0"/>
              <w:rPr>
                <w:rFonts w:asciiTheme="minorEastAsia" w:hAnsiTheme="minorEastAsia" w:cstheme="minorEastAsia"/>
                <w:szCs w:val="21"/>
              </w:rPr>
            </w:pPr>
            <w:r>
              <w:rPr>
                <w:rFonts w:hint="eastAsia" w:ascii="宋体" w:hAnsi="宋体" w:eastAsia="宋体" w:cs="宋体"/>
                <w:szCs w:val="21"/>
              </w:rPr>
              <w:t>地址：</w:t>
            </w:r>
            <w:r>
              <w:rPr>
                <w:rFonts w:hint="eastAsia" w:asciiTheme="minorEastAsia" w:hAnsiTheme="minorEastAsia" w:cstheme="minorEastAsia"/>
                <w:szCs w:val="21"/>
              </w:rPr>
              <w:t>河北省石家庄市石获南路66号1#商务楼11楼信</w:t>
            </w:r>
          </w:p>
          <w:p>
            <w:pPr>
              <w:adjustRightInd w:val="0"/>
              <w:snapToGrid w:val="0"/>
              <w:rPr>
                <w:rFonts w:ascii="宋体" w:hAnsi="宋体" w:eastAsia="宋体" w:cs="宋体"/>
                <w:szCs w:val="21"/>
              </w:rPr>
            </w:pPr>
            <w:r>
              <w:rPr>
                <w:rFonts w:hint="eastAsia" w:asciiTheme="minorEastAsia" w:hAnsiTheme="minorEastAsia" w:cstheme="minorEastAsia"/>
                <w:szCs w:val="21"/>
              </w:rPr>
              <w:t xml:space="preserve">息部 </w:t>
            </w:r>
          </w:p>
          <w:p>
            <w:pPr>
              <w:adjustRightInd w:val="0"/>
              <w:snapToGrid w:val="0"/>
              <w:rPr>
                <w:rFonts w:ascii="宋体" w:hAnsi="宋体" w:eastAsia="宋体" w:cs="宋体"/>
                <w:szCs w:val="21"/>
              </w:rPr>
            </w:pPr>
            <w:r>
              <w:rPr>
                <w:rFonts w:hint="eastAsia" w:ascii="宋体" w:hAnsi="宋体" w:eastAsia="宋体" w:cs="宋体"/>
                <w:szCs w:val="21"/>
              </w:rPr>
              <w:t>联系人：陈子钰</w:t>
            </w:r>
          </w:p>
          <w:p>
            <w:pPr>
              <w:adjustRightInd w:val="0"/>
              <w:snapToGrid w:val="0"/>
              <w:rPr>
                <w:rFonts w:ascii="宋体" w:hAnsi="宋体" w:eastAsia="宋体" w:cs="宋体"/>
                <w:szCs w:val="21"/>
              </w:rPr>
            </w:pPr>
            <w:r>
              <w:rPr>
                <w:rFonts w:hint="eastAsia" w:ascii="宋体" w:hAnsi="宋体" w:eastAsia="宋体" w:cs="宋体"/>
                <w:szCs w:val="21"/>
              </w:rPr>
              <w:t>电话：</w:t>
            </w:r>
            <w:r>
              <w:rPr>
                <w:rFonts w:hint="eastAsia" w:asciiTheme="minorEastAsia" w:hAnsiTheme="minorEastAsia" w:cstheme="minorEastAsia"/>
                <w:szCs w:val="21"/>
              </w:rPr>
              <w:t>13313018566</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1.1.4</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招标项目名称</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cs="宋体"/>
                <w:szCs w:val="21"/>
              </w:rPr>
              <w:t>景州文体中心电影场馆委托运营服务项目</w:t>
            </w:r>
          </w:p>
        </w:tc>
      </w:tr>
      <w:tr>
        <w:tblPrEx>
          <w:tblCellMar>
            <w:top w:w="0" w:type="dxa"/>
            <w:left w:w="108" w:type="dxa"/>
            <w:bottom w:w="0" w:type="dxa"/>
            <w:right w:w="108" w:type="dxa"/>
          </w:tblCellMar>
        </w:tblPrEx>
        <w:trPr>
          <w:trHeight w:val="317"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1.1.5</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建设地点</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cs="宋体"/>
                <w:szCs w:val="21"/>
              </w:rPr>
              <w:t>衡水景县县城广川大街与市场路交叉口</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招标范围</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cs="宋体"/>
                <w:szCs w:val="21"/>
              </w:rPr>
              <w:t>电影场馆委托运营服务项目</w:t>
            </w:r>
          </w:p>
        </w:tc>
      </w:tr>
      <w:tr>
        <w:tblPrEx>
          <w:tblCellMar>
            <w:top w:w="0" w:type="dxa"/>
            <w:left w:w="108" w:type="dxa"/>
            <w:bottom w:w="0" w:type="dxa"/>
            <w:right w:w="108" w:type="dxa"/>
          </w:tblCellMar>
        </w:tblPrEx>
        <w:trPr>
          <w:trHeight w:val="90"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1.2.2</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合作期</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szCs w:val="21"/>
              </w:rPr>
              <w:t>项目租赁期限12年</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1.2.3</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电影院场馆交付条件</w:t>
            </w:r>
          </w:p>
        </w:tc>
        <w:tc>
          <w:tcPr>
            <w:tcW w:w="5234"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rPr>
                <w:rFonts w:ascii="宋体" w:hAnsi="宋体" w:eastAsia="宋体" w:cs="宋体"/>
                <w:szCs w:val="21"/>
              </w:rPr>
            </w:pPr>
            <w:r>
              <w:rPr>
                <w:rFonts w:hint="eastAsia" w:ascii="宋体" w:hAnsi="宋体" w:eastAsia="宋体" w:cs="宋体"/>
                <w:szCs w:val="21"/>
              </w:rPr>
              <w:t>走廊、办公房间、楼梯间的简单装饰装修由招标人负责，包括：地砖、吊顶以及白墙；</w:t>
            </w:r>
          </w:p>
          <w:p>
            <w:pPr>
              <w:numPr>
                <w:ilvl w:val="0"/>
                <w:numId w:val="3"/>
              </w:numPr>
              <w:adjustRightInd w:val="0"/>
              <w:snapToGrid w:val="0"/>
              <w:rPr>
                <w:rFonts w:ascii="宋体" w:hAnsi="宋体" w:eastAsia="宋体" w:cs="宋体"/>
                <w:szCs w:val="21"/>
              </w:rPr>
            </w:pPr>
            <w:r>
              <w:rPr>
                <w:rFonts w:hint="eastAsia" w:ascii="宋体" w:hAnsi="宋体" w:eastAsia="宋体" w:cs="宋体"/>
                <w:szCs w:val="21"/>
              </w:rPr>
              <w:t>放影厅、售票厅、设备间等：墙面抹灰由招标人负责；3-5号放映厅台阶楼面招标人施工到找平层，1、2号放映厅台阶楼面招标人只施工到现浇混凝土楼板；通风、消防、暖通、给排水、电气安装等由招标人施工；电气安装由招标人负责将接口留到各放映厅；放映厅地面、地毯、内墙装饰装修及吊顶由投标人负责；</w:t>
            </w:r>
          </w:p>
          <w:p>
            <w:pPr>
              <w:numPr>
                <w:ilvl w:val="0"/>
                <w:numId w:val="3"/>
              </w:numPr>
              <w:adjustRightInd w:val="0"/>
              <w:snapToGrid w:val="0"/>
              <w:rPr>
                <w:rFonts w:ascii="宋体" w:hAnsi="宋体" w:eastAsia="宋体" w:cs="宋体"/>
                <w:szCs w:val="21"/>
              </w:rPr>
            </w:pPr>
            <w:r>
              <w:rPr>
                <w:rFonts w:hint="eastAsia" w:ascii="宋体" w:hAnsi="宋体" w:eastAsia="宋体" w:cs="宋体"/>
                <w:szCs w:val="21"/>
              </w:rPr>
              <w:t>放映设备、运营相关的其他设备或设施、办公物品、广告、牌匾等均由投标人自行负责。</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1.3.1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投标人资质要求</w:t>
            </w:r>
          </w:p>
        </w:tc>
        <w:tc>
          <w:tcPr>
            <w:tcW w:w="52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szCs w:val="21"/>
              </w:rPr>
            </w:pPr>
            <w:r>
              <w:rPr>
                <w:rFonts w:hint="eastAsia" w:ascii="宋体" w:hAnsi="宋体" w:eastAsia="宋体" w:cs="宋体"/>
                <w:szCs w:val="21"/>
              </w:rPr>
              <w:t>详见“第一章招标公告 3、投标人资格要求”</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1.8.1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踏勘现场</w:t>
            </w:r>
          </w:p>
        </w:tc>
        <w:tc>
          <w:tcPr>
            <w:tcW w:w="5234" w:type="dxa"/>
            <w:tcBorders>
              <w:top w:val="single" w:color="auto" w:sz="4" w:space="0"/>
              <w:left w:val="single" w:color="auto" w:sz="4" w:space="0"/>
              <w:bottom w:val="single" w:color="auto" w:sz="4" w:space="0"/>
              <w:right w:val="single" w:color="auto" w:sz="4" w:space="0"/>
            </w:tcBorders>
            <w:vAlign w:val="center"/>
          </w:tcPr>
          <w:p>
            <w:pPr>
              <w:pStyle w:val="9"/>
              <w:topLinePunct/>
              <w:adjustRightInd w:val="0"/>
              <w:snapToGrid w:val="0"/>
              <w:rPr>
                <w:rFonts w:hAnsi="宋体" w:eastAsia="宋体" w:cs="宋体"/>
                <w:sz w:val="21"/>
                <w:szCs w:val="21"/>
              </w:rPr>
            </w:pPr>
            <w:r>
              <w:rPr>
                <w:rFonts w:hint="eastAsia" w:hAnsi="宋体" w:eastAsia="宋体" w:cs="宋体"/>
                <w:sz w:val="21"/>
                <w:szCs w:val="21"/>
              </w:rPr>
              <w:t>投标人自行踏勘现场，招标人不统一组织，投标人可在投标截止日之前对踏勘存在的疑问要求招标人进行澄清。</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构成招标文件的其他材料</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eastAsia="宋体" w:cs="宋体"/>
                <w:szCs w:val="21"/>
              </w:rPr>
              <w:t>无</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2.2.1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投标人要求澄清招标文件</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eastAsia="宋体" w:cs="宋体"/>
                <w:szCs w:val="21"/>
              </w:rPr>
              <w:t>投标人应仔细阅读和检查招标文件的全部内容。如有疑问，</w:t>
            </w:r>
            <w:r>
              <w:rPr>
                <w:rFonts w:hint="eastAsia" w:ascii="宋体" w:hAnsi="宋体" w:eastAsia="宋体" w:cs="宋体"/>
                <w:color w:val="auto"/>
                <w:szCs w:val="21"/>
              </w:rPr>
              <w:t>应在</w:t>
            </w:r>
            <w:r>
              <w:rPr>
                <w:rFonts w:hint="eastAsia" w:ascii="宋体" w:hAnsi="宋体" w:eastAsia="宋体" w:cs="宋体"/>
                <w:color w:val="auto"/>
                <w:szCs w:val="21"/>
                <w:u w:val="single"/>
              </w:rPr>
              <w:t xml:space="preserve"> 20</w:t>
            </w:r>
            <w:r>
              <w:rPr>
                <w:rFonts w:ascii="宋体" w:hAnsi="宋体" w:eastAsia="宋体" w:cs="宋体"/>
                <w:color w:val="auto"/>
                <w:szCs w:val="21"/>
                <w:u w:val="single"/>
              </w:rPr>
              <w:t>20</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ascii="宋体" w:hAnsi="宋体" w:eastAsia="宋体" w:cs="宋体"/>
                <w:color w:val="auto"/>
                <w:szCs w:val="21"/>
                <w:u w:val="single"/>
              </w:rPr>
              <w:t>4</w:t>
            </w:r>
            <w:r>
              <w:rPr>
                <w:rFonts w:hint="eastAsia" w:ascii="宋体" w:hAnsi="宋体" w:eastAsia="宋体" w:cs="宋体"/>
                <w:color w:val="auto"/>
                <w:szCs w:val="21"/>
              </w:rPr>
              <w:t>月</w:t>
            </w:r>
            <w:r>
              <w:rPr>
                <w:rFonts w:ascii="宋体" w:hAnsi="宋体" w:cs="宋体"/>
                <w:color w:val="auto"/>
                <w:szCs w:val="21"/>
                <w:u w:val="single"/>
              </w:rPr>
              <w:t>24</w:t>
            </w:r>
            <w:r>
              <w:rPr>
                <w:rFonts w:hint="eastAsia" w:ascii="宋体" w:hAnsi="宋体" w:eastAsia="宋体" w:cs="宋体"/>
                <w:color w:val="auto"/>
                <w:szCs w:val="21"/>
              </w:rPr>
              <w:t>日</w:t>
            </w:r>
            <w:r>
              <w:rPr>
                <w:rFonts w:hint="eastAsia" w:ascii="宋体" w:hAnsi="宋体" w:eastAsia="宋体" w:cs="宋体"/>
                <w:color w:val="auto"/>
                <w:szCs w:val="21"/>
                <w:u w:val="single"/>
              </w:rPr>
              <w:t>10</w:t>
            </w:r>
            <w:r>
              <w:rPr>
                <w:rFonts w:hint="eastAsia" w:ascii="宋体" w:hAnsi="宋体" w:eastAsia="宋体" w:cs="宋体"/>
                <w:color w:val="auto"/>
                <w:szCs w:val="21"/>
              </w:rPr>
              <w:t>时</w:t>
            </w:r>
            <w:r>
              <w:rPr>
                <w:rFonts w:hint="eastAsia" w:ascii="宋体" w:hAnsi="宋体" w:eastAsia="宋体" w:cs="宋体"/>
                <w:color w:val="auto"/>
                <w:szCs w:val="21"/>
                <w:u w:val="single"/>
              </w:rPr>
              <w:t>0</w:t>
            </w:r>
            <w:r>
              <w:rPr>
                <w:rFonts w:hint="eastAsia" w:ascii="宋体" w:hAnsi="宋体" w:eastAsia="宋体" w:cs="宋体"/>
                <w:color w:val="auto"/>
                <w:szCs w:val="21"/>
              </w:rPr>
              <w:t>分前，书面提交投标人。</w:t>
            </w:r>
          </w:p>
        </w:tc>
      </w:tr>
      <w:tr>
        <w:tblPrEx>
          <w:tblCellMar>
            <w:top w:w="0" w:type="dxa"/>
            <w:left w:w="108" w:type="dxa"/>
            <w:bottom w:w="0" w:type="dxa"/>
            <w:right w:w="108" w:type="dxa"/>
          </w:tblCellMar>
        </w:tblPrEx>
        <w:trPr>
          <w:trHeight w:val="90"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2.2.2</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招标文件澄清发出的形式</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eastAsia="宋体" w:cs="宋体"/>
                <w:szCs w:val="21"/>
              </w:rPr>
              <w:t>招标人以电话形式回复</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2.3.1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招标文件修改发出的形式</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eastAsia="宋体" w:cs="宋体"/>
                <w:szCs w:val="21"/>
              </w:rPr>
              <w:t>招标人以电话形式回复</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3.2.3</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highlight w:val="yellow"/>
              </w:rPr>
            </w:pPr>
            <w:r>
              <w:rPr>
                <w:rFonts w:hint="eastAsia" w:ascii="宋体" w:hAnsi="宋体" w:eastAsia="宋体" w:cs="宋体"/>
                <w:szCs w:val="21"/>
              </w:rPr>
              <w:t>最低投标限价</w:t>
            </w:r>
          </w:p>
        </w:tc>
        <w:tc>
          <w:tcPr>
            <w:tcW w:w="5234"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napToGrid w:val="0"/>
            </w:pPr>
            <w:r>
              <w:rPr>
                <w:rFonts w:hint="eastAsia"/>
              </w:rPr>
              <w:t>不设免租期；</w:t>
            </w:r>
          </w:p>
          <w:p>
            <w:pPr>
              <w:numPr>
                <w:ilvl w:val="0"/>
                <w:numId w:val="4"/>
              </w:numPr>
              <w:adjustRightInd w:val="0"/>
              <w:snapToGrid w:val="0"/>
            </w:pPr>
            <w:r>
              <w:rPr>
                <w:rFonts w:hint="eastAsia"/>
              </w:rPr>
              <w:t>租金每三年上浮5%；</w:t>
            </w:r>
          </w:p>
          <w:p>
            <w:pPr>
              <w:adjustRightInd w:val="0"/>
              <w:snapToGrid w:val="0"/>
              <w:rPr>
                <w:rFonts w:ascii="宋体" w:hAnsi="宋体" w:eastAsia="宋体" w:cs="宋体"/>
                <w:szCs w:val="21"/>
              </w:rPr>
            </w:pPr>
            <w:r>
              <w:rPr>
                <w:rFonts w:hint="eastAsia"/>
              </w:rPr>
              <w:t>3、第一年租金</w:t>
            </w:r>
            <m:oMath>
              <m:r>
                <m:rPr>
                  <m:sty m:val="p"/>
                </m:rPr>
                <w:rPr>
                  <w:rFonts w:hint="eastAsia" w:ascii="Cambria Math" w:hAnsi="Cambria Math"/>
                </w:rPr>
                <m:t>≥</m:t>
              </m:r>
            </m:oMath>
            <w:r>
              <w:rPr>
                <w:rFonts w:hint="eastAsia"/>
              </w:rPr>
              <w:t>55.7万元。</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3.2.4</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highlight w:val="yellow"/>
              </w:rPr>
            </w:pPr>
            <w:r>
              <w:rPr>
                <w:rFonts w:hint="eastAsia" w:ascii="宋体" w:hAnsi="宋体" w:eastAsia="宋体" w:cs="宋体"/>
                <w:szCs w:val="21"/>
              </w:rPr>
              <w:t>招标方式</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highlight w:val="yellow"/>
              </w:rPr>
            </w:pPr>
            <w:r>
              <w:rPr>
                <w:rFonts w:hint="eastAsia" w:ascii="宋体" w:hAnsi="宋体" w:cs="宋体"/>
                <w:szCs w:val="21"/>
                <w:lang w:eastAsia="zh-CN"/>
              </w:rPr>
              <w:t>公开招标，</w:t>
            </w:r>
            <w:r>
              <w:rPr>
                <w:rFonts w:hint="eastAsia" w:ascii="宋体" w:hAnsi="宋体" w:cs="宋体"/>
                <w:szCs w:val="21"/>
              </w:rPr>
              <w:t>通过资格审查的投标人，在开标之日携带招标文件赴开标地点进行评标。</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3.3.1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投标有效期</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Calibri" w:hAnsi="Calibri" w:eastAsia="宋体" w:cs="Times New Roman"/>
              </w:rPr>
            </w:pPr>
            <w:r>
              <w:rPr>
                <w:rFonts w:hint="eastAsia" w:ascii="宋体" w:hAnsi="宋体" w:cs="宋体"/>
                <w:szCs w:val="21"/>
              </w:rPr>
              <w:t>60日历天（从投标截止之日算起）</w:t>
            </w:r>
          </w:p>
        </w:tc>
      </w:tr>
      <w:tr>
        <w:tblPrEx>
          <w:tblCellMar>
            <w:top w:w="0" w:type="dxa"/>
            <w:left w:w="108" w:type="dxa"/>
            <w:bottom w:w="0" w:type="dxa"/>
            <w:right w:w="108" w:type="dxa"/>
          </w:tblCellMar>
        </w:tblPrEx>
        <w:trPr>
          <w:trHeight w:val="3118"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3.4.1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投标保证金</w:t>
            </w:r>
          </w:p>
        </w:tc>
        <w:tc>
          <w:tcPr>
            <w:tcW w:w="5234" w:type="dxa"/>
            <w:tcBorders>
              <w:top w:val="single" w:color="auto" w:sz="4" w:space="0"/>
              <w:left w:val="single" w:color="auto" w:sz="4" w:space="0"/>
              <w:bottom w:val="single" w:color="auto" w:sz="4" w:space="0"/>
              <w:right w:val="single" w:color="auto" w:sz="4" w:space="0"/>
            </w:tcBorders>
            <w:vAlign w:val="center"/>
          </w:tcPr>
          <w:p>
            <w:pPr>
              <w:numPr>
                <w:ilvl w:val="0"/>
                <w:numId w:val="5"/>
              </w:numPr>
              <w:adjustRightInd w:val="0"/>
              <w:snapToGrid w:val="0"/>
              <w:rPr>
                <w:rFonts w:ascii="Calibri" w:hAnsi="Calibri" w:eastAsia="宋体" w:cs="Times New Roman"/>
                <w:highlight w:val="none"/>
              </w:rPr>
            </w:pPr>
            <w:r>
              <w:rPr>
                <w:rFonts w:hint="eastAsia" w:ascii="Calibri" w:hAnsi="Calibri" w:eastAsia="宋体" w:cs="Times New Roman"/>
                <w:b/>
                <w:bCs/>
                <w:highlight w:val="none"/>
              </w:rPr>
              <w:t>投标保证金形式：</w:t>
            </w:r>
            <w:r>
              <w:rPr>
                <w:rFonts w:hint="eastAsia" w:ascii="Calibri" w:hAnsi="Calibri" w:eastAsia="宋体" w:cs="Times New Roman"/>
                <w:highlight w:val="none"/>
              </w:rPr>
              <w:t>电汇、网银转账</w:t>
            </w:r>
          </w:p>
          <w:p>
            <w:pPr>
              <w:numPr>
                <w:ilvl w:val="0"/>
                <w:numId w:val="5"/>
              </w:numPr>
              <w:adjustRightInd w:val="0"/>
              <w:snapToGrid w:val="0"/>
              <w:rPr>
                <w:rFonts w:ascii="Calibri" w:hAnsi="Calibri" w:eastAsia="宋体" w:cs="Times New Roman"/>
                <w:color w:val="auto"/>
                <w:highlight w:val="none"/>
              </w:rPr>
            </w:pPr>
            <w:r>
              <w:rPr>
                <w:rFonts w:hint="eastAsia" w:ascii="Calibri" w:hAnsi="Calibri" w:eastAsia="宋体" w:cs="Times New Roman"/>
                <w:b/>
                <w:bCs/>
                <w:color w:val="auto"/>
                <w:highlight w:val="none"/>
              </w:rPr>
              <w:t>投标保证金金额：</w:t>
            </w:r>
            <w:r>
              <w:rPr>
                <w:rFonts w:hint="eastAsia" w:ascii="Calibri" w:hAnsi="Calibri" w:eastAsia="宋体" w:cs="Times New Roman"/>
                <w:color w:val="auto"/>
                <w:highlight w:val="none"/>
              </w:rPr>
              <w:t>人民币</w:t>
            </w:r>
            <w:r>
              <w:rPr>
                <w:rFonts w:hint="eastAsia" w:ascii="Calibri" w:hAnsi="Calibri" w:eastAsia="宋体" w:cs="Times New Roman"/>
                <w:color w:val="auto"/>
                <w:highlight w:val="none"/>
                <w:u w:val="single"/>
              </w:rPr>
              <w:t xml:space="preserve"> </w:t>
            </w:r>
            <w:r>
              <w:rPr>
                <w:rFonts w:hint="eastAsia" w:ascii="Calibri" w:hAnsi="Calibri" w:eastAsia="宋体" w:cs="Times New Roman"/>
                <w:color w:val="auto"/>
                <w:highlight w:val="none"/>
                <w:u w:val="single"/>
                <w:lang w:val="en-US" w:eastAsia="zh-CN"/>
              </w:rPr>
              <w:t>1</w:t>
            </w:r>
            <w:r>
              <w:rPr>
                <w:rFonts w:hint="eastAsia" w:ascii="Calibri" w:hAnsi="Calibri" w:eastAsia="宋体" w:cs="Times New Roman"/>
                <w:color w:val="auto"/>
                <w:highlight w:val="none"/>
              </w:rPr>
              <w:t>万元整（大写：</w:t>
            </w:r>
            <w:r>
              <w:rPr>
                <w:rFonts w:hint="eastAsia" w:ascii="Calibri" w:hAnsi="Calibri" w:eastAsia="宋体" w:cs="Times New Roman"/>
                <w:color w:val="auto"/>
                <w:highlight w:val="none"/>
                <w:lang w:eastAsia="zh-CN"/>
              </w:rPr>
              <w:t>壹</w:t>
            </w:r>
            <w:r>
              <w:rPr>
                <w:rFonts w:hint="eastAsia" w:ascii="Calibri" w:hAnsi="Calibri" w:eastAsia="宋体" w:cs="Times New Roman"/>
                <w:color w:val="auto"/>
                <w:highlight w:val="none"/>
              </w:rPr>
              <w:t>万元整）</w:t>
            </w:r>
          </w:p>
          <w:p>
            <w:pPr>
              <w:numPr>
                <w:ilvl w:val="0"/>
                <w:numId w:val="5"/>
              </w:numPr>
              <w:adjustRightInd w:val="0"/>
              <w:snapToGrid w:val="0"/>
              <w:rPr>
                <w:rFonts w:ascii="Calibri" w:hAnsi="Calibri" w:eastAsia="宋体" w:cs="Times New Roman"/>
                <w:highlight w:val="none"/>
              </w:rPr>
            </w:pPr>
            <w:r>
              <w:rPr>
                <w:rFonts w:hint="eastAsia" w:ascii="Calibri" w:hAnsi="Calibri" w:eastAsia="宋体" w:cs="Times New Roman"/>
                <w:b/>
                <w:bCs/>
                <w:highlight w:val="none"/>
              </w:rPr>
              <w:t>递交截止时间：</w:t>
            </w:r>
            <w:r>
              <w:rPr>
                <w:rFonts w:hint="eastAsia" w:ascii="宋体" w:hAnsi="宋体" w:cs="宋体"/>
                <w:color w:val="auto"/>
                <w:szCs w:val="21"/>
              </w:rPr>
              <w:t>20</w:t>
            </w:r>
            <w:r>
              <w:rPr>
                <w:rFonts w:ascii="宋体" w:hAnsi="宋体" w:cs="宋体"/>
                <w:color w:val="auto"/>
                <w:szCs w:val="21"/>
              </w:rPr>
              <w:t>20</w:t>
            </w:r>
            <w:r>
              <w:rPr>
                <w:rFonts w:hint="eastAsia" w:ascii="宋体" w:hAnsi="宋体" w:cs="宋体"/>
                <w:color w:val="auto"/>
                <w:szCs w:val="21"/>
              </w:rPr>
              <w:t>年</w:t>
            </w:r>
            <w:r>
              <w:rPr>
                <w:rFonts w:ascii="宋体" w:hAnsi="宋体" w:cs="宋体"/>
                <w:color w:val="auto"/>
                <w:szCs w:val="21"/>
              </w:rPr>
              <w:t>4</w:t>
            </w:r>
            <w:r>
              <w:rPr>
                <w:rFonts w:hint="eastAsia" w:ascii="宋体" w:hAnsi="宋体" w:cs="宋体"/>
                <w:color w:val="auto"/>
                <w:szCs w:val="21"/>
              </w:rPr>
              <w:t>月</w:t>
            </w:r>
            <w:r>
              <w:rPr>
                <w:rFonts w:ascii="宋体" w:hAnsi="宋体" w:cs="宋体"/>
                <w:color w:val="auto"/>
                <w:szCs w:val="21"/>
              </w:rPr>
              <w:t>28</w:t>
            </w:r>
            <w:r>
              <w:rPr>
                <w:rFonts w:hint="eastAsia" w:ascii="宋体" w:hAnsi="宋体" w:cs="宋体"/>
                <w:color w:val="auto"/>
                <w:szCs w:val="21"/>
              </w:rPr>
              <w:t>日</w:t>
            </w:r>
            <w:r>
              <w:rPr>
                <w:rFonts w:hint="eastAsia" w:ascii="Calibri" w:hAnsi="Calibri" w:eastAsia="宋体" w:cs="Times New Roman"/>
                <w:highlight w:val="none"/>
              </w:rPr>
              <w:t>的前一个工作日下午16：00之前以投标单位基本户付款（以到账时间为准，未以投标单位基本户付款的视为废标）。账户详细信息如下：</w:t>
            </w:r>
          </w:p>
          <w:p>
            <w:pPr>
              <w:adjustRightInd w:val="0"/>
              <w:snapToGrid w:val="0"/>
              <w:rPr>
                <w:rFonts w:ascii="Calibri" w:hAnsi="Calibri" w:eastAsia="宋体" w:cs="Times New Roman"/>
                <w:b/>
                <w:bCs/>
                <w:highlight w:val="none"/>
              </w:rPr>
            </w:pPr>
            <w:r>
              <w:rPr>
                <w:rFonts w:hint="eastAsia" w:ascii="Calibri" w:hAnsi="Calibri" w:eastAsia="宋体" w:cs="Times New Roman"/>
                <w:b/>
                <w:bCs/>
                <w:highlight w:val="none"/>
              </w:rPr>
              <w:t>开户名：河北建工物流有限公司</w:t>
            </w:r>
          </w:p>
          <w:p>
            <w:pPr>
              <w:adjustRightInd w:val="0"/>
              <w:snapToGrid w:val="0"/>
              <w:rPr>
                <w:rFonts w:ascii="Calibri" w:hAnsi="Calibri" w:eastAsia="宋体" w:cs="Times New Roman"/>
                <w:b/>
                <w:bCs/>
                <w:highlight w:val="none"/>
              </w:rPr>
            </w:pPr>
            <w:r>
              <w:rPr>
                <w:rFonts w:hint="eastAsia" w:ascii="Calibri" w:hAnsi="Calibri" w:eastAsia="宋体" w:cs="Times New Roman"/>
                <w:b/>
                <w:bCs/>
                <w:highlight w:val="none"/>
              </w:rPr>
              <w:t>开户行：光大银行西王支行</w:t>
            </w:r>
          </w:p>
          <w:p>
            <w:pPr>
              <w:adjustRightInd w:val="0"/>
              <w:snapToGrid w:val="0"/>
              <w:rPr>
                <w:rFonts w:ascii="Calibri" w:hAnsi="Calibri" w:eastAsia="宋体" w:cs="Times New Roman"/>
                <w:b/>
                <w:bCs/>
                <w:highlight w:val="none"/>
              </w:rPr>
            </w:pPr>
            <w:r>
              <w:rPr>
                <w:rFonts w:hint="eastAsia" w:ascii="Calibri" w:hAnsi="Calibri" w:eastAsia="宋体" w:cs="Times New Roman"/>
                <w:b/>
                <w:bCs/>
                <w:highlight w:val="none"/>
              </w:rPr>
              <w:t>账号：75220188000078821</w:t>
            </w:r>
          </w:p>
          <w:p>
            <w:pPr>
              <w:adjustRightInd w:val="0"/>
              <w:snapToGrid w:val="0"/>
              <w:rPr>
                <w:rFonts w:ascii="Calibri" w:hAnsi="Calibri" w:eastAsia="宋体" w:cs="Times New Roman"/>
                <w:highlight w:val="none"/>
              </w:rPr>
            </w:pPr>
            <w:r>
              <w:rPr>
                <w:rFonts w:hint="eastAsia" w:ascii="Calibri" w:hAnsi="Calibri" w:eastAsia="宋体" w:cs="Times New Roman"/>
                <w:highlight w:val="none"/>
              </w:rPr>
              <w:t>4、</w:t>
            </w:r>
            <w:r>
              <w:rPr>
                <w:rFonts w:hint="eastAsia" w:ascii="Calibri" w:hAnsi="Calibri" w:eastAsia="宋体" w:cs="Times New Roman"/>
                <w:b/>
                <w:bCs/>
                <w:highlight w:val="none"/>
              </w:rPr>
              <w:t>投标保证金的退还</w:t>
            </w:r>
          </w:p>
          <w:p>
            <w:pPr>
              <w:adjustRightInd w:val="0"/>
              <w:snapToGrid w:val="0"/>
              <w:rPr>
                <w:highlight w:val="none"/>
              </w:rPr>
            </w:pPr>
            <w:r>
              <w:rPr>
                <w:rFonts w:hint="eastAsia" w:ascii="Calibri" w:hAnsi="Calibri" w:eastAsia="宋体" w:cs="Times New Roman"/>
                <w:highlight w:val="none"/>
              </w:rPr>
              <w:t>最迟在合同签订后10日内向中标人和未中标的投标人退还投标保证金（无利息）。</w:t>
            </w:r>
          </w:p>
        </w:tc>
      </w:tr>
      <w:tr>
        <w:tblPrEx>
          <w:tblCellMar>
            <w:top w:w="0" w:type="dxa"/>
            <w:left w:w="108" w:type="dxa"/>
            <w:bottom w:w="0" w:type="dxa"/>
            <w:right w:w="108" w:type="dxa"/>
          </w:tblCellMar>
        </w:tblPrEx>
        <w:trPr>
          <w:trHeight w:val="1103"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3.5</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履约保函</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Calibri" w:hAnsi="Calibri" w:eastAsia="宋体" w:cs="Times New Roman"/>
                <w:bCs/>
              </w:rPr>
            </w:pPr>
            <w:r>
              <w:rPr>
                <w:rFonts w:hint="eastAsia" w:ascii="Calibri" w:hAnsi="Calibri" w:eastAsia="宋体" w:cs="Times New Roman"/>
                <w:bCs/>
              </w:rPr>
              <w:t>中标人在合同签订7日内，应向招标人提交由国内任何一家金融机构出具的金额为合同总价（12年租金）10%的履约保函，履约担保期不得低于合同有效期。具体违约责任见合同约定。</w:t>
            </w:r>
          </w:p>
        </w:tc>
      </w:tr>
      <w:tr>
        <w:tblPrEx>
          <w:tblCellMar>
            <w:top w:w="0" w:type="dxa"/>
            <w:left w:w="108" w:type="dxa"/>
            <w:bottom w:w="0" w:type="dxa"/>
            <w:right w:w="108" w:type="dxa"/>
          </w:tblCellMar>
        </w:tblPrEx>
        <w:trPr>
          <w:trHeight w:val="90"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3.7.2</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投标文件内容</w:t>
            </w:r>
          </w:p>
        </w:tc>
        <w:tc>
          <w:tcPr>
            <w:tcW w:w="5234"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rFonts w:hint="default" w:ascii="宋体" w:hAnsi="宋体" w:eastAsia="宋体" w:cs="宋体"/>
                <w:szCs w:val="21"/>
              </w:rPr>
            </w:pPr>
            <w:r>
              <w:rPr>
                <w:rFonts w:ascii="宋体" w:hAnsi="宋体" w:eastAsia="宋体" w:cs="宋体"/>
                <w:szCs w:val="21"/>
              </w:rPr>
              <w:t>投标文件应当对招标文件有关商务报价、资质条件、近年业绩、企业信誉及运营方案等实质性内容作出响应。</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投标文件的密封</w:t>
            </w:r>
          </w:p>
        </w:tc>
        <w:tc>
          <w:tcPr>
            <w:tcW w:w="5234"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rFonts w:hint="default" w:ascii="宋体" w:hAnsi="宋体" w:eastAsia="宋体" w:cs="宋体"/>
                <w:szCs w:val="21"/>
              </w:rPr>
            </w:pPr>
            <w:r>
              <w:rPr>
                <w:rFonts w:ascii="宋体" w:hAnsi="宋体" w:eastAsia="宋体" w:cs="宋体"/>
                <w:szCs w:val="21"/>
              </w:rPr>
              <w:t>投标人应当按照招标文件的要求密封，封套应标明：</w:t>
            </w:r>
          </w:p>
          <w:p>
            <w:pPr>
              <w:pStyle w:val="2"/>
              <w:ind w:left="0" w:leftChars="0" w:firstLine="0" w:firstLineChars="0"/>
              <w:rPr>
                <w:rFonts w:hint="default" w:ascii="宋体" w:hAnsi="宋体" w:eastAsia="宋体" w:cs="宋体"/>
                <w:szCs w:val="21"/>
              </w:rPr>
            </w:pPr>
            <w:r>
              <w:rPr>
                <w:rFonts w:ascii="宋体" w:hAnsi="宋体" w:eastAsia="宋体" w:cs="宋体"/>
                <w:szCs w:val="21"/>
              </w:rPr>
              <w:t>采购人地址：河北省衡水市景县景新大街水木人家6层</w:t>
            </w:r>
          </w:p>
          <w:p>
            <w:pPr>
              <w:pStyle w:val="2"/>
              <w:ind w:left="0" w:leftChars="0" w:firstLine="0" w:firstLineChars="0"/>
              <w:rPr>
                <w:rFonts w:hint="default" w:ascii="宋体" w:hAnsi="宋体" w:eastAsia="宋体" w:cs="宋体"/>
                <w:szCs w:val="21"/>
              </w:rPr>
            </w:pPr>
            <w:r>
              <w:rPr>
                <w:rFonts w:ascii="宋体" w:hAnsi="宋体" w:eastAsia="宋体" w:cs="宋体"/>
                <w:szCs w:val="21"/>
              </w:rPr>
              <w:t>采购人全称：景县景州仲舒文体中心有限责任公司</w:t>
            </w:r>
          </w:p>
          <w:p>
            <w:pPr>
              <w:pStyle w:val="2"/>
              <w:ind w:left="0" w:leftChars="0" w:firstLine="0" w:firstLineChars="0"/>
              <w:rPr>
                <w:rFonts w:hint="default" w:ascii="宋体" w:hAnsi="宋体" w:eastAsia="宋体" w:cs="宋体"/>
                <w:szCs w:val="21"/>
              </w:rPr>
            </w:pPr>
            <w:r>
              <w:rPr>
                <w:rFonts w:ascii="宋体" w:hAnsi="宋体" w:eastAsia="宋体" w:cs="宋体"/>
                <w:szCs w:val="21"/>
              </w:rPr>
              <w:t>景州文体中心电影场馆委托运营服务项目投标文件</w:t>
            </w:r>
          </w:p>
          <w:p>
            <w:pPr>
              <w:pStyle w:val="2"/>
              <w:ind w:left="0" w:leftChars="0" w:firstLine="0" w:firstLineChars="0"/>
              <w:rPr>
                <w:rFonts w:hint="default" w:ascii="宋体" w:hAnsi="宋体" w:eastAsia="宋体" w:cs="宋体"/>
                <w:szCs w:val="21"/>
              </w:rPr>
            </w:pPr>
            <w:r>
              <w:rPr>
                <w:rFonts w:ascii="宋体" w:hAnsi="宋体" w:eastAsia="宋体" w:cs="宋体"/>
                <w:szCs w:val="21"/>
              </w:rPr>
              <w:t>（</w:t>
            </w:r>
            <w:r>
              <w:rPr>
                <w:rFonts w:ascii="宋体" w:hAnsi="宋体" w:eastAsia="宋体" w:cs="宋体"/>
                <w:color w:val="auto"/>
                <w:szCs w:val="21"/>
              </w:rPr>
              <w:t>在20</w:t>
            </w:r>
            <w:r>
              <w:rPr>
                <w:rFonts w:hint="default" w:ascii="宋体" w:hAnsi="宋体" w:eastAsia="宋体" w:cs="宋体"/>
                <w:color w:val="auto"/>
                <w:szCs w:val="21"/>
              </w:rPr>
              <w:t>20</w:t>
            </w:r>
            <w:r>
              <w:rPr>
                <w:rFonts w:ascii="宋体" w:hAnsi="宋体" w:eastAsia="宋体" w:cs="宋体"/>
                <w:color w:val="auto"/>
                <w:szCs w:val="21"/>
              </w:rPr>
              <w:t>年</w:t>
            </w:r>
            <w:r>
              <w:rPr>
                <w:rFonts w:hint="default" w:ascii="宋体" w:hAnsi="宋体" w:eastAsia="宋体" w:cs="宋体"/>
                <w:color w:val="auto"/>
                <w:szCs w:val="21"/>
              </w:rPr>
              <w:t>4</w:t>
            </w:r>
            <w:r>
              <w:rPr>
                <w:rFonts w:ascii="宋体" w:hAnsi="宋体" w:eastAsia="宋体" w:cs="宋体"/>
                <w:color w:val="auto"/>
                <w:szCs w:val="21"/>
              </w:rPr>
              <w:t>月</w:t>
            </w:r>
            <w:r>
              <w:rPr>
                <w:rFonts w:hint="default" w:ascii="宋体" w:hAnsi="宋体" w:eastAsia="宋体" w:cs="宋体"/>
                <w:color w:val="auto"/>
                <w:szCs w:val="21"/>
              </w:rPr>
              <w:t>28</w:t>
            </w:r>
            <w:r>
              <w:rPr>
                <w:rFonts w:ascii="宋体" w:hAnsi="宋体" w:eastAsia="宋体" w:cs="宋体"/>
                <w:color w:val="auto"/>
                <w:szCs w:val="21"/>
              </w:rPr>
              <w:t>日 09时 30分前不得开启）。</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4.2</w:t>
            </w:r>
          </w:p>
        </w:tc>
        <w:tc>
          <w:tcPr>
            <w:tcW w:w="3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eastAsia="Times New Roman"/>
                <w:szCs w:val="21"/>
              </w:rPr>
              <w:t>是否退还投标文件</w:t>
            </w:r>
          </w:p>
        </w:tc>
        <w:tc>
          <w:tcPr>
            <w:tcW w:w="5234" w:type="dxa"/>
            <w:tcBorders>
              <w:top w:val="single" w:color="auto" w:sz="4" w:space="0"/>
              <w:left w:val="single" w:color="auto" w:sz="4" w:space="0"/>
              <w:bottom w:val="single" w:color="auto" w:sz="4" w:space="0"/>
              <w:right w:val="single" w:color="auto" w:sz="4" w:space="0"/>
            </w:tcBorders>
            <w:vAlign w:val="center"/>
          </w:tcPr>
          <w:p>
            <w:pPr>
              <w:pStyle w:val="9"/>
              <w:topLinePunct/>
              <w:rPr>
                <w:rFonts w:hAnsi="宋体" w:cs="宋体"/>
                <w:szCs w:val="21"/>
              </w:rPr>
            </w:pPr>
            <w:r>
              <w:rPr>
                <w:rFonts w:hint="eastAsia" w:hAnsi="宋体" w:eastAsia="Times New Roman" w:cs="宋体"/>
                <w:sz w:val="21"/>
                <w:szCs w:val="21"/>
              </w:rPr>
              <w:t>否</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5.1</w:t>
            </w:r>
          </w:p>
        </w:tc>
        <w:tc>
          <w:tcPr>
            <w:tcW w:w="3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eastAsia="Times New Roman"/>
                <w:szCs w:val="21"/>
              </w:rPr>
              <w:t>开标时间及地点</w:t>
            </w:r>
          </w:p>
        </w:tc>
        <w:tc>
          <w:tcPr>
            <w:tcW w:w="5234" w:type="dxa"/>
            <w:tcBorders>
              <w:top w:val="single" w:color="auto" w:sz="4" w:space="0"/>
              <w:left w:val="single" w:color="auto" w:sz="4" w:space="0"/>
              <w:bottom w:val="single" w:color="auto" w:sz="4" w:space="0"/>
              <w:right w:val="single" w:color="auto" w:sz="4" w:space="0"/>
            </w:tcBorders>
            <w:vAlign w:val="center"/>
          </w:tcPr>
          <w:p>
            <w:pPr>
              <w:rPr>
                <w:color w:val="auto"/>
                <w:szCs w:val="21"/>
              </w:rPr>
            </w:pPr>
            <w:r>
              <w:rPr>
                <w:rFonts w:ascii="宋体" w:hAnsi="宋体" w:eastAsia="宋体" w:cs="宋体"/>
                <w:color w:val="auto"/>
                <w:szCs w:val="21"/>
              </w:rPr>
              <w:t>2020年4月28日 09时 30分</w:t>
            </w:r>
            <w:r>
              <w:rPr>
                <w:rFonts w:hint="eastAsia" w:ascii="宋体" w:hAnsi="宋体" w:cs="宋体"/>
                <w:color w:val="auto"/>
                <w:szCs w:val="21"/>
              </w:rPr>
              <w:t>在河北建工物流电子招投标交易平台进行统一报价，本次网上报价为最终报价，列入最终综合评分项；</w:t>
            </w:r>
          </w:p>
          <w:p>
            <w:pPr>
              <w:rPr>
                <w:rFonts w:hAnsi="宋体" w:eastAsia="宋体" w:cs="宋体"/>
                <w:szCs w:val="21"/>
              </w:rPr>
            </w:pPr>
            <w:r>
              <w:rPr>
                <w:rFonts w:ascii="宋体" w:hAnsi="宋体" w:eastAsia="宋体" w:cs="宋体"/>
                <w:color w:val="auto"/>
                <w:szCs w:val="21"/>
              </w:rPr>
              <w:t>2020年4月</w:t>
            </w:r>
            <w:r>
              <w:rPr>
                <w:rFonts w:hint="eastAsia" w:ascii="宋体" w:hAnsi="宋体" w:eastAsia="宋体" w:cs="宋体"/>
                <w:color w:val="auto"/>
                <w:szCs w:val="21"/>
                <w:lang w:val="en-US" w:eastAsia="zh-CN"/>
              </w:rPr>
              <w:t>30</w:t>
            </w:r>
            <w:r>
              <w:rPr>
                <w:rFonts w:ascii="宋体" w:hAnsi="宋体" w:eastAsia="宋体" w:cs="宋体"/>
                <w:color w:val="auto"/>
                <w:szCs w:val="21"/>
              </w:rPr>
              <w:t>日 09时 30分</w:t>
            </w:r>
            <w:r>
              <w:rPr>
                <w:rFonts w:hint="eastAsia" w:ascii="宋体" w:hAnsi="宋体" w:eastAsia="宋体" w:cs="宋体"/>
                <w:color w:val="auto"/>
                <w:szCs w:val="21"/>
              </w:rPr>
              <w:t>，</w:t>
            </w:r>
            <w:r>
              <w:rPr>
                <w:rFonts w:hint="eastAsia" w:ascii="宋体" w:hAnsi="宋体" w:eastAsia="宋体" w:cs="宋体"/>
                <w:color w:val="auto"/>
                <w:szCs w:val="21"/>
                <w:lang w:val="en-US" w:eastAsia="zh-CN"/>
              </w:rPr>
              <w:t>携投标文件赴</w:t>
            </w:r>
            <w:r>
              <w:rPr>
                <w:rFonts w:hint="eastAsia" w:asciiTheme="minorEastAsia" w:hAnsiTheme="minorEastAsia" w:cstheme="minorEastAsia"/>
                <w:szCs w:val="21"/>
              </w:rPr>
              <w:t>河北省衡水市景县景新大街水木人家6层</w:t>
            </w:r>
            <w:r>
              <w:rPr>
                <w:rFonts w:hint="eastAsia" w:asciiTheme="minorEastAsia" w:hAnsiTheme="minorEastAsia" w:cstheme="minorEastAsia"/>
                <w:szCs w:val="21"/>
                <w:lang w:val="en-US" w:eastAsia="zh-CN"/>
              </w:rPr>
              <w:t>612室投标</w:t>
            </w:r>
            <w:r>
              <w:rPr>
                <w:rFonts w:hint="eastAsia" w:ascii="宋体" w:hAnsi="宋体" w:eastAsia="宋体" w:cs="宋体"/>
                <w:szCs w:val="21"/>
              </w:rPr>
              <w:t>，如有变动，另行通知。</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5.2</w:t>
            </w:r>
          </w:p>
        </w:tc>
        <w:tc>
          <w:tcPr>
            <w:tcW w:w="310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Cs w:val="21"/>
              </w:rPr>
            </w:pPr>
            <w:r>
              <w:rPr>
                <w:rFonts w:hint="eastAsia" w:eastAsia="Times New Roman"/>
                <w:szCs w:val="21"/>
              </w:rPr>
              <w:t>开标程序</w:t>
            </w:r>
          </w:p>
        </w:tc>
        <w:tc>
          <w:tcPr>
            <w:tcW w:w="5234"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rFonts w:hint="default" w:ascii="宋体" w:hAnsi="宋体" w:eastAsia="Times New Roman" w:cs="宋体"/>
                <w:szCs w:val="21"/>
              </w:rPr>
            </w:pPr>
            <w:r>
              <w:rPr>
                <w:rFonts w:ascii="宋体" w:hAnsi="宋体" w:eastAsia="Times New Roman" w:cs="宋体"/>
                <w:szCs w:val="21"/>
              </w:rPr>
              <w:t>主持人按下列程序进行开标：</w:t>
            </w:r>
          </w:p>
          <w:p>
            <w:pPr>
              <w:pStyle w:val="2"/>
              <w:ind w:left="0" w:leftChars="0" w:firstLine="0" w:firstLineChars="0"/>
              <w:rPr>
                <w:rFonts w:hint="default" w:ascii="宋体" w:hAnsi="宋体" w:eastAsia="Times New Roman" w:cs="宋体"/>
                <w:szCs w:val="21"/>
              </w:rPr>
            </w:pPr>
            <w:r>
              <w:rPr>
                <w:rFonts w:hint="default" w:ascii="宋体" w:hAnsi="宋体" w:eastAsia="Times New Roman" w:cs="宋体"/>
                <w:szCs w:val="21"/>
              </w:rPr>
              <w:t>1</w:t>
            </w:r>
            <w:r>
              <w:rPr>
                <w:rFonts w:ascii="宋体" w:hAnsi="宋体" w:eastAsia="Times New Roman" w:cs="宋体"/>
                <w:szCs w:val="21"/>
              </w:rPr>
              <w:t>、宣布开标纪律；</w:t>
            </w:r>
          </w:p>
          <w:p>
            <w:pPr>
              <w:pStyle w:val="2"/>
              <w:ind w:left="0" w:leftChars="0" w:firstLine="0" w:firstLineChars="0"/>
              <w:rPr>
                <w:rFonts w:hint="default" w:ascii="宋体" w:hAnsi="宋体" w:eastAsia="Times New Roman" w:cs="宋体"/>
                <w:szCs w:val="21"/>
              </w:rPr>
            </w:pPr>
            <w:r>
              <w:rPr>
                <w:rFonts w:hint="default" w:ascii="宋体" w:hAnsi="宋体" w:eastAsia="Times New Roman" w:cs="宋体"/>
                <w:szCs w:val="21"/>
              </w:rPr>
              <w:t>2</w:t>
            </w:r>
            <w:r>
              <w:rPr>
                <w:rFonts w:ascii="宋体" w:hAnsi="宋体" w:eastAsia="Times New Roman" w:cs="宋体"/>
                <w:szCs w:val="21"/>
              </w:rPr>
              <w:t>、公布参加投标的投标人名称；</w:t>
            </w:r>
          </w:p>
          <w:p>
            <w:pPr>
              <w:pStyle w:val="2"/>
              <w:ind w:left="0" w:leftChars="0" w:firstLine="0" w:firstLineChars="0"/>
              <w:rPr>
                <w:rFonts w:hint="default" w:ascii="宋体" w:hAnsi="宋体" w:eastAsia="Times New Roman" w:cs="宋体"/>
                <w:szCs w:val="21"/>
              </w:rPr>
            </w:pPr>
            <w:r>
              <w:rPr>
                <w:rFonts w:hint="default" w:ascii="宋体" w:hAnsi="宋体" w:eastAsia="Times New Roman" w:cs="宋体"/>
                <w:szCs w:val="21"/>
              </w:rPr>
              <w:t>3</w:t>
            </w:r>
            <w:r>
              <w:rPr>
                <w:rFonts w:ascii="宋体" w:hAnsi="宋体" w:eastAsia="Times New Roman" w:cs="宋体"/>
                <w:szCs w:val="21"/>
              </w:rPr>
              <w:t>、宣布开标人、评标人、记录人、监标人等有关人员姓名；</w:t>
            </w:r>
          </w:p>
          <w:p>
            <w:pPr>
              <w:pStyle w:val="2"/>
              <w:ind w:left="0" w:leftChars="0" w:firstLine="0" w:firstLineChars="0"/>
              <w:rPr>
                <w:rFonts w:hint="default" w:ascii="宋体" w:hAnsi="宋体" w:eastAsia="Times New Roman" w:cs="宋体"/>
                <w:szCs w:val="21"/>
              </w:rPr>
            </w:pPr>
            <w:r>
              <w:rPr>
                <w:rFonts w:hint="default" w:ascii="宋体" w:hAnsi="宋体" w:eastAsia="Times New Roman" w:cs="宋体"/>
                <w:szCs w:val="21"/>
              </w:rPr>
              <w:t>4</w:t>
            </w:r>
            <w:r>
              <w:rPr>
                <w:rFonts w:ascii="宋体" w:hAnsi="宋体" w:eastAsia="Times New Roman" w:cs="宋体"/>
                <w:szCs w:val="21"/>
              </w:rPr>
              <w:t>、评标委员会根据评分标准依次查阅投标文件，对疑问点进行询问；</w:t>
            </w:r>
          </w:p>
          <w:p>
            <w:pPr>
              <w:pStyle w:val="2"/>
              <w:ind w:left="0" w:leftChars="0" w:firstLine="0" w:firstLineChars="0"/>
              <w:rPr>
                <w:rFonts w:hint="default" w:ascii="宋体" w:hAnsi="宋体" w:eastAsia="Times New Roman" w:cs="宋体"/>
                <w:szCs w:val="21"/>
              </w:rPr>
            </w:pPr>
            <w:r>
              <w:rPr>
                <w:rFonts w:hint="default" w:ascii="宋体" w:hAnsi="宋体" w:eastAsia="Times New Roman" w:cs="宋体"/>
                <w:szCs w:val="21"/>
              </w:rPr>
              <w:t>5</w:t>
            </w:r>
            <w:r>
              <w:rPr>
                <w:rFonts w:ascii="宋体" w:hAnsi="宋体" w:eastAsia="Times New Roman" w:cs="宋体"/>
                <w:szCs w:val="21"/>
              </w:rPr>
              <w:t>、评标委员会就投标文件进行打分；</w:t>
            </w:r>
          </w:p>
          <w:p>
            <w:pPr>
              <w:pStyle w:val="2"/>
              <w:ind w:left="0" w:leftChars="0" w:firstLine="0" w:firstLineChars="0"/>
              <w:rPr>
                <w:rFonts w:hint="default" w:ascii="宋体" w:hAnsi="宋体" w:eastAsia="宋体" w:cs="宋体"/>
                <w:szCs w:val="21"/>
              </w:rPr>
            </w:pPr>
            <w:r>
              <w:rPr>
                <w:rFonts w:hint="default" w:ascii="宋体" w:hAnsi="宋体" w:eastAsia="Times New Roman" w:cs="宋体"/>
                <w:szCs w:val="21"/>
              </w:rPr>
              <w:t>6</w:t>
            </w:r>
            <w:r>
              <w:rPr>
                <w:rFonts w:ascii="宋体" w:hAnsi="宋体" w:eastAsia="Times New Roman" w:cs="宋体"/>
                <w:szCs w:val="21"/>
              </w:rPr>
              <w:t>、开标结束。</w:t>
            </w:r>
          </w:p>
        </w:tc>
      </w:tr>
      <w:tr>
        <w:tblPrEx>
          <w:tblCellMar>
            <w:top w:w="0" w:type="dxa"/>
            <w:left w:w="108" w:type="dxa"/>
            <w:bottom w:w="0" w:type="dxa"/>
            <w:right w:w="108" w:type="dxa"/>
          </w:tblCellMar>
        </w:tblPrEx>
        <w:trPr>
          <w:trHeight w:val="90" w:hRule="atLeast"/>
          <w:jc w:val="center"/>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6.1.1</w:t>
            </w:r>
          </w:p>
        </w:tc>
        <w:tc>
          <w:tcPr>
            <w:tcW w:w="31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eastAsia="Times New Roman"/>
                <w:szCs w:val="21"/>
              </w:rPr>
              <w:t>评标委员会的组建</w:t>
            </w:r>
          </w:p>
        </w:tc>
        <w:tc>
          <w:tcPr>
            <w:tcW w:w="52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Times New Roman" w:cs="宋体"/>
                <w:szCs w:val="21"/>
              </w:rPr>
              <w:t>评标委员会由采购人组织的5人组成，其中包含1名财务专家和1名法律专家</w:t>
            </w:r>
          </w:p>
        </w:tc>
      </w:tr>
      <w:tr>
        <w:tblPrEx>
          <w:tblCellMar>
            <w:top w:w="0" w:type="dxa"/>
            <w:left w:w="108" w:type="dxa"/>
            <w:bottom w:w="0" w:type="dxa"/>
            <w:right w:w="108" w:type="dxa"/>
          </w:tblCellMar>
        </w:tblPrEx>
        <w:trPr>
          <w:trHeight w:val="381"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7.1</w:t>
            </w:r>
          </w:p>
        </w:tc>
        <w:tc>
          <w:tcPr>
            <w:tcW w:w="3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eastAsia="Times New Roman"/>
                <w:szCs w:val="21"/>
              </w:rPr>
              <w:t>确定中标人</w:t>
            </w:r>
          </w:p>
        </w:tc>
        <w:tc>
          <w:tcPr>
            <w:tcW w:w="52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eastAsia="宋体"/>
                <w:b/>
                <w:bCs/>
                <w:szCs w:val="21"/>
              </w:rPr>
              <w:t>招标人根据投标单位的报价、商业信誉、业绩、运营方案等，以综合打分形式选择中标人，不承诺最高价中标。如果没有特殊理由，招标人应当确定评审报告推荐的第一中标候选人为中标运营商。</w:t>
            </w:r>
          </w:p>
        </w:tc>
      </w:tr>
      <w:tr>
        <w:tblPrEx>
          <w:tblCellMar>
            <w:top w:w="0" w:type="dxa"/>
            <w:left w:w="108" w:type="dxa"/>
            <w:bottom w:w="0" w:type="dxa"/>
            <w:right w:w="108" w:type="dxa"/>
          </w:tblCellMar>
        </w:tblPrEx>
        <w:trPr>
          <w:trHeight w:val="880" w:hRule="atLeast"/>
          <w:jc w:val="center"/>
        </w:trPr>
        <w:tc>
          <w:tcPr>
            <w:tcW w:w="877"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7.2</w:t>
            </w:r>
          </w:p>
        </w:tc>
        <w:tc>
          <w:tcPr>
            <w:tcW w:w="3105"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中标候选人公示媒介</w:t>
            </w:r>
          </w:p>
        </w:tc>
        <w:tc>
          <w:tcPr>
            <w:tcW w:w="5234" w:type="dxa"/>
            <w:tcBorders>
              <w:top w:val="single" w:color="auto" w:sz="4" w:space="0"/>
              <w:left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河北建工物流电子招标交易平台。</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c>
          <w:tcPr>
            <w:tcW w:w="83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szCs w:val="21"/>
              </w:rPr>
            </w:pPr>
            <w:r>
              <w:rPr>
                <w:rFonts w:hint="eastAsia" w:ascii="宋体" w:hAnsi="宋体" w:eastAsia="宋体" w:cs="宋体"/>
                <w:b/>
                <w:szCs w:val="21"/>
              </w:rPr>
              <w:t>需要补充的其他内容</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中标服务费</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确定中标人后，2日内由中标人向物流招标平台缴纳中标总价（12年租金）1‰的电子投标服务费（中标人承担）。形式及账户同本表3.4.1一致。</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9.2</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合同签订</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发出中标通知书后30日内，双方签订《景州文体中心电影场馆委托运营服务合同》，合同范本仅供参考，合同具体条款由甲乙双方根据招标文件需求协商确定。</w:t>
            </w:r>
          </w:p>
        </w:tc>
      </w:tr>
    </w:tbl>
    <w:p>
      <w:pPr>
        <w:spacing w:line="400" w:lineRule="exact"/>
      </w:pPr>
      <w:r>
        <w:br w:type="page"/>
      </w:r>
    </w:p>
    <w:p>
      <w:pPr>
        <w:pStyle w:val="5"/>
        <w:rPr>
          <w:b/>
          <w:szCs w:val="24"/>
        </w:rPr>
      </w:pPr>
      <w:bookmarkStart w:id="102" w:name="_Toc26567"/>
      <w:bookmarkStart w:id="103" w:name="_Toc247085689"/>
      <w:bookmarkStart w:id="104" w:name="_Toc13404"/>
      <w:bookmarkStart w:id="105" w:name="_Toc152042305"/>
      <w:bookmarkStart w:id="106" w:name="_Toc144974497"/>
      <w:bookmarkStart w:id="107" w:name="_Toc13077"/>
      <w:bookmarkStart w:id="108" w:name="_Toc296602420"/>
      <w:bookmarkStart w:id="109" w:name="_Toc152045529"/>
      <w:bookmarkStart w:id="110" w:name="_Toc21400"/>
      <w:bookmarkStart w:id="111" w:name="_Toc246996175"/>
      <w:bookmarkStart w:id="112" w:name="_Toc179632546"/>
      <w:bookmarkStart w:id="113" w:name="_Toc31860"/>
      <w:bookmarkStart w:id="114" w:name="_Toc246996918"/>
      <w:r>
        <w:rPr>
          <w:rFonts w:hint="eastAsia"/>
          <w:b/>
          <w:szCs w:val="24"/>
        </w:rPr>
        <w:t>1. 总则</w:t>
      </w:r>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6"/>
        <w:rPr>
          <w:b/>
          <w:szCs w:val="24"/>
        </w:rPr>
      </w:pPr>
      <w:bookmarkStart w:id="115" w:name="_Toc247085690"/>
      <w:bookmarkStart w:id="116" w:name="_Toc246996176"/>
      <w:bookmarkStart w:id="117" w:name="_Toc179632547"/>
      <w:bookmarkStart w:id="118" w:name="_Toc246996919"/>
      <w:bookmarkStart w:id="119" w:name="_Toc144974498"/>
      <w:bookmarkStart w:id="120" w:name="_Toc152045530"/>
      <w:bookmarkStart w:id="121" w:name="_Toc296602421"/>
      <w:bookmarkStart w:id="122" w:name="_Toc152042306"/>
      <w:r>
        <w:rPr>
          <w:rFonts w:hint="eastAsia"/>
          <w:b/>
          <w:szCs w:val="24"/>
        </w:rPr>
        <w:t>1.1 项目概况</w:t>
      </w:r>
      <w:bookmarkEnd w:id="115"/>
      <w:bookmarkEnd w:id="116"/>
      <w:bookmarkEnd w:id="117"/>
      <w:bookmarkEnd w:id="118"/>
      <w:bookmarkEnd w:id="119"/>
      <w:bookmarkEnd w:id="120"/>
      <w:bookmarkEnd w:id="121"/>
      <w:bookmarkEnd w:id="122"/>
    </w:p>
    <w:p>
      <w:pPr>
        <w:spacing w:line="360" w:lineRule="auto"/>
        <w:ind w:firstLine="420" w:firstLineChars="200"/>
      </w:pPr>
      <w:r>
        <w:rPr>
          <w:rFonts w:hint="eastAsia"/>
        </w:rPr>
        <w:t>1.1.1根据《中华人民共和国招标投标法》等有关法律、法规和规章的规定，本招标项目已具备招标条件，现对本项目进行招标。</w:t>
      </w:r>
    </w:p>
    <w:p>
      <w:pPr>
        <w:spacing w:line="360" w:lineRule="auto"/>
        <w:ind w:firstLine="420" w:firstLineChars="200"/>
      </w:pPr>
      <w:r>
        <w:rPr>
          <w:rFonts w:hint="eastAsia"/>
        </w:rPr>
        <w:t>1.1.2 本招标项目招标人：见投标人须知前附表。</w:t>
      </w:r>
    </w:p>
    <w:p>
      <w:pPr>
        <w:spacing w:line="360" w:lineRule="auto"/>
        <w:ind w:firstLine="420" w:firstLineChars="200"/>
      </w:pPr>
      <w:r>
        <w:rPr>
          <w:rFonts w:hint="eastAsia"/>
        </w:rPr>
        <w:t>1.1.3 本招标项目招标代理机构：见投标人须知前附表。</w:t>
      </w:r>
    </w:p>
    <w:p>
      <w:pPr>
        <w:spacing w:line="360" w:lineRule="auto"/>
        <w:ind w:firstLine="420" w:firstLineChars="200"/>
      </w:pPr>
      <w:r>
        <w:rPr>
          <w:rFonts w:hint="eastAsia"/>
        </w:rPr>
        <w:t>1.1.4 本招标项目名称：见投标人须知前附表。</w:t>
      </w:r>
    </w:p>
    <w:p>
      <w:pPr>
        <w:spacing w:line="360" w:lineRule="auto"/>
        <w:ind w:firstLine="420" w:firstLineChars="200"/>
        <w:rPr>
          <w:rFonts w:eastAsia="宋体"/>
          <w:b/>
        </w:rPr>
      </w:pPr>
      <w:r>
        <w:rPr>
          <w:rFonts w:hint="eastAsia"/>
        </w:rPr>
        <w:t>1.1.5 本招标项目建设地点：见投标人须知前附表。</w:t>
      </w:r>
      <w:bookmarkStart w:id="123" w:name="_Toc246996920"/>
      <w:bookmarkEnd w:id="123"/>
      <w:bookmarkStart w:id="124" w:name="_Toc144974499"/>
      <w:bookmarkEnd w:id="124"/>
      <w:bookmarkStart w:id="125" w:name="_Toc152042307"/>
      <w:bookmarkEnd w:id="125"/>
      <w:bookmarkStart w:id="126" w:name="_Toc179632548"/>
      <w:bookmarkEnd w:id="126"/>
      <w:bookmarkStart w:id="127" w:name="_Toc246996177"/>
      <w:bookmarkEnd w:id="127"/>
      <w:bookmarkStart w:id="128" w:name="_Toc296602422"/>
      <w:bookmarkEnd w:id="128"/>
      <w:bookmarkStart w:id="129" w:name="_Toc152045531"/>
      <w:bookmarkEnd w:id="129"/>
      <w:bookmarkStart w:id="130" w:name="_Toc247085691"/>
      <w:bookmarkEnd w:id="130"/>
    </w:p>
    <w:p>
      <w:pPr>
        <w:pStyle w:val="6"/>
        <w:rPr>
          <w:b/>
          <w:szCs w:val="24"/>
        </w:rPr>
      </w:pPr>
      <w:bookmarkStart w:id="131" w:name="_Toc144974500"/>
      <w:bookmarkStart w:id="132" w:name="_Toc152042308"/>
      <w:bookmarkStart w:id="133" w:name="_Toc296602423"/>
      <w:bookmarkStart w:id="134" w:name="_Toc179632549"/>
      <w:bookmarkStart w:id="135" w:name="_Toc247085692"/>
      <w:bookmarkStart w:id="136" w:name="_Toc246996921"/>
      <w:bookmarkStart w:id="137" w:name="_Toc152045532"/>
      <w:bookmarkStart w:id="138" w:name="_Toc246996178"/>
      <w:r>
        <w:rPr>
          <w:rFonts w:hint="eastAsia"/>
          <w:b/>
          <w:szCs w:val="24"/>
        </w:rPr>
        <w:t>1.2 招标范围、合作期、</w:t>
      </w:r>
      <w:bookmarkEnd w:id="131"/>
      <w:bookmarkEnd w:id="132"/>
      <w:bookmarkEnd w:id="133"/>
      <w:bookmarkEnd w:id="134"/>
      <w:bookmarkEnd w:id="135"/>
      <w:bookmarkEnd w:id="136"/>
      <w:bookmarkEnd w:id="137"/>
      <w:bookmarkEnd w:id="138"/>
      <w:r>
        <w:rPr>
          <w:rFonts w:hint="eastAsia"/>
          <w:b/>
          <w:szCs w:val="24"/>
        </w:rPr>
        <w:t>电影院交付条件</w:t>
      </w:r>
    </w:p>
    <w:p>
      <w:pPr>
        <w:spacing w:line="360" w:lineRule="auto"/>
        <w:ind w:firstLine="420" w:firstLineChars="200"/>
      </w:pPr>
      <w:r>
        <w:rPr>
          <w:rFonts w:hint="eastAsia"/>
        </w:rPr>
        <w:t>1.2.1 本次招标范围：见投标人须知前附表。</w:t>
      </w:r>
    </w:p>
    <w:p>
      <w:pPr>
        <w:spacing w:line="360" w:lineRule="auto"/>
        <w:ind w:firstLine="420" w:firstLineChars="200"/>
      </w:pPr>
      <w:r>
        <w:rPr>
          <w:rFonts w:hint="eastAsia"/>
        </w:rPr>
        <w:t>1.2.2 本次招标项目的合作期：见投标人须知前附表。</w:t>
      </w:r>
    </w:p>
    <w:p>
      <w:pPr>
        <w:spacing w:line="360" w:lineRule="auto"/>
        <w:ind w:firstLine="420" w:firstLineChars="200"/>
      </w:pPr>
      <w:r>
        <w:rPr>
          <w:rFonts w:hint="eastAsia"/>
        </w:rPr>
        <w:t>1.2.3 本次招标项目的电影院交付条件：见投标人须知前附表。</w:t>
      </w:r>
    </w:p>
    <w:p>
      <w:pPr>
        <w:pStyle w:val="6"/>
        <w:rPr>
          <w:b/>
          <w:szCs w:val="24"/>
        </w:rPr>
      </w:pPr>
      <w:bookmarkStart w:id="139" w:name="_Toc152042310"/>
      <w:bookmarkStart w:id="140" w:name="_Toc179632551"/>
      <w:bookmarkStart w:id="141" w:name="_Toc246996922"/>
      <w:bookmarkStart w:id="142" w:name="_Toc152045534"/>
      <w:bookmarkStart w:id="143" w:name="_Toc144974502"/>
      <w:bookmarkStart w:id="144" w:name="_Toc296602424"/>
      <w:bookmarkStart w:id="145" w:name="_Toc246996179"/>
      <w:bookmarkStart w:id="146" w:name="_Toc247085693"/>
      <w:r>
        <w:rPr>
          <w:rFonts w:hint="eastAsia"/>
          <w:b/>
          <w:szCs w:val="24"/>
        </w:rPr>
        <w:t xml:space="preserve">1.3 </w:t>
      </w:r>
      <w:bookmarkEnd w:id="139"/>
      <w:bookmarkEnd w:id="140"/>
      <w:bookmarkEnd w:id="141"/>
      <w:bookmarkEnd w:id="142"/>
      <w:bookmarkEnd w:id="143"/>
      <w:bookmarkEnd w:id="144"/>
      <w:bookmarkEnd w:id="145"/>
      <w:bookmarkEnd w:id="146"/>
      <w:r>
        <w:rPr>
          <w:rFonts w:hint="eastAsia"/>
          <w:b/>
          <w:szCs w:val="24"/>
        </w:rPr>
        <w:t>投标人资格要求</w:t>
      </w:r>
    </w:p>
    <w:p>
      <w:pPr>
        <w:spacing w:line="360" w:lineRule="auto"/>
        <w:ind w:firstLine="359" w:firstLineChars="171"/>
      </w:pPr>
      <w:r>
        <w:rPr>
          <w:rFonts w:hint="eastAsia"/>
        </w:rPr>
        <w:t>1.3.1 投标人资格要求内容：见投标人须知前附表。</w:t>
      </w:r>
    </w:p>
    <w:p>
      <w:pPr>
        <w:pStyle w:val="6"/>
        <w:rPr>
          <w:b/>
          <w:szCs w:val="24"/>
        </w:rPr>
      </w:pPr>
      <w:bookmarkStart w:id="147" w:name="_Toc152042311"/>
      <w:bookmarkStart w:id="148" w:name="_Toc246996923"/>
      <w:bookmarkStart w:id="149" w:name="_Toc179632552"/>
      <w:bookmarkStart w:id="150" w:name="_Toc152045535"/>
      <w:bookmarkStart w:id="151" w:name="_Toc247085694"/>
      <w:bookmarkStart w:id="152" w:name="_Toc144974503"/>
      <w:bookmarkStart w:id="153" w:name="_Toc296602425"/>
      <w:bookmarkStart w:id="154" w:name="_Toc246996180"/>
      <w:r>
        <w:rPr>
          <w:rFonts w:hint="eastAsia"/>
          <w:b/>
          <w:szCs w:val="24"/>
        </w:rPr>
        <w:t>1.4 费用承担</w:t>
      </w:r>
      <w:bookmarkEnd w:id="147"/>
      <w:bookmarkEnd w:id="148"/>
      <w:bookmarkEnd w:id="149"/>
      <w:bookmarkEnd w:id="150"/>
      <w:bookmarkEnd w:id="151"/>
      <w:bookmarkEnd w:id="152"/>
      <w:bookmarkEnd w:id="153"/>
      <w:bookmarkEnd w:id="154"/>
    </w:p>
    <w:p>
      <w:pPr>
        <w:spacing w:line="360" w:lineRule="auto"/>
        <w:ind w:firstLine="420" w:firstLineChars="200"/>
      </w:pPr>
      <w:r>
        <w:rPr>
          <w:rFonts w:hint="eastAsia"/>
        </w:rPr>
        <w:t>投标人准备和参加投标活动发生的费用自理。</w:t>
      </w:r>
    </w:p>
    <w:p>
      <w:pPr>
        <w:pStyle w:val="6"/>
        <w:rPr>
          <w:b/>
          <w:szCs w:val="24"/>
        </w:rPr>
      </w:pPr>
      <w:bookmarkStart w:id="155" w:name="_Toc296602426"/>
      <w:bookmarkStart w:id="156" w:name="_Toc247085695"/>
      <w:bookmarkStart w:id="157" w:name="_Toc246996181"/>
      <w:bookmarkStart w:id="158" w:name="_Toc179632553"/>
      <w:bookmarkStart w:id="159" w:name="_Toc152042312"/>
      <w:bookmarkStart w:id="160" w:name="_Toc152045536"/>
      <w:bookmarkStart w:id="161" w:name="_Toc246996924"/>
      <w:bookmarkStart w:id="162" w:name="_Toc144974504"/>
      <w:r>
        <w:rPr>
          <w:rFonts w:hint="eastAsia"/>
          <w:b/>
          <w:szCs w:val="24"/>
        </w:rPr>
        <w:t>1.5 保密</w:t>
      </w:r>
      <w:bookmarkEnd w:id="155"/>
      <w:bookmarkEnd w:id="156"/>
      <w:bookmarkEnd w:id="157"/>
      <w:bookmarkEnd w:id="158"/>
      <w:bookmarkEnd w:id="159"/>
      <w:bookmarkEnd w:id="160"/>
      <w:bookmarkEnd w:id="161"/>
      <w:bookmarkEnd w:id="162"/>
    </w:p>
    <w:p>
      <w:pPr>
        <w:spacing w:line="360" w:lineRule="auto"/>
        <w:ind w:firstLine="420" w:firstLineChars="200"/>
      </w:pPr>
      <w:r>
        <w:rPr>
          <w:rFonts w:hint="eastAsia"/>
        </w:rPr>
        <w:t>参与招标投标活动的各方应对招标文件和投标文件中的商业和技术等秘密保密，违者应对由此造成的后果承担法律责任。</w:t>
      </w:r>
    </w:p>
    <w:p>
      <w:pPr>
        <w:pStyle w:val="6"/>
        <w:rPr>
          <w:b/>
          <w:szCs w:val="24"/>
        </w:rPr>
      </w:pPr>
      <w:bookmarkStart w:id="163" w:name="_Toc144974505"/>
      <w:bookmarkStart w:id="164" w:name="_Toc246996182"/>
      <w:bookmarkStart w:id="165" w:name="_Toc247085696"/>
      <w:bookmarkStart w:id="166" w:name="_Toc246996925"/>
      <w:bookmarkStart w:id="167" w:name="_Toc152042313"/>
      <w:bookmarkStart w:id="168" w:name="_Toc152045537"/>
      <w:bookmarkStart w:id="169" w:name="_Toc296602427"/>
      <w:bookmarkStart w:id="170" w:name="_Toc179632554"/>
      <w:r>
        <w:rPr>
          <w:rFonts w:hint="eastAsia"/>
          <w:b/>
          <w:szCs w:val="24"/>
        </w:rPr>
        <w:t>1.6 语言</w:t>
      </w:r>
      <w:bookmarkEnd w:id="163"/>
      <w:r>
        <w:rPr>
          <w:rFonts w:hint="eastAsia"/>
          <w:b/>
          <w:szCs w:val="24"/>
        </w:rPr>
        <w:t>文字</w:t>
      </w:r>
      <w:bookmarkEnd w:id="164"/>
      <w:bookmarkEnd w:id="165"/>
      <w:bookmarkEnd w:id="166"/>
      <w:bookmarkEnd w:id="167"/>
      <w:bookmarkEnd w:id="168"/>
      <w:bookmarkEnd w:id="169"/>
      <w:bookmarkEnd w:id="170"/>
    </w:p>
    <w:p>
      <w:pPr>
        <w:spacing w:line="360" w:lineRule="auto"/>
        <w:ind w:firstLine="420" w:firstLineChars="200"/>
      </w:pPr>
      <w:bookmarkStart w:id="171" w:name="_Toc247085697"/>
      <w:bookmarkStart w:id="172" w:name="_Toc246996926"/>
      <w:bookmarkStart w:id="173" w:name="_Toc144974506"/>
      <w:bookmarkStart w:id="174" w:name="_Toc152042314"/>
      <w:bookmarkStart w:id="175" w:name="_Toc246996183"/>
      <w:bookmarkStart w:id="176" w:name="_Toc152045538"/>
      <w:bookmarkStart w:id="177" w:name="_Toc179632555"/>
      <w:r>
        <w:rPr>
          <w:rFonts w:hint="eastAsia"/>
        </w:rPr>
        <w:t>招标投标文件使用的语言文字为中文。专用术语使用外文的，应附有中文注释。</w:t>
      </w:r>
    </w:p>
    <w:p>
      <w:pPr>
        <w:pStyle w:val="6"/>
        <w:rPr>
          <w:b/>
          <w:szCs w:val="24"/>
        </w:rPr>
      </w:pPr>
      <w:bookmarkStart w:id="178" w:name="_Toc296602428"/>
      <w:r>
        <w:rPr>
          <w:rFonts w:hint="eastAsia"/>
          <w:b/>
          <w:szCs w:val="24"/>
        </w:rPr>
        <w:t>1.7 计量单位</w:t>
      </w:r>
      <w:bookmarkEnd w:id="171"/>
      <w:bookmarkEnd w:id="172"/>
      <w:bookmarkEnd w:id="173"/>
      <w:bookmarkEnd w:id="174"/>
      <w:bookmarkEnd w:id="175"/>
      <w:bookmarkEnd w:id="176"/>
      <w:bookmarkEnd w:id="177"/>
      <w:bookmarkEnd w:id="178"/>
    </w:p>
    <w:p>
      <w:pPr>
        <w:spacing w:line="360" w:lineRule="auto"/>
        <w:ind w:firstLine="420" w:firstLineChars="200"/>
      </w:pPr>
      <w:r>
        <w:rPr>
          <w:rFonts w:hint="eastAsia"/>
        </w:rPr>
        <w:t>所有计量均采用中华人民共和国法定计量单位。</w:t>
      </w:r>
    </w:p>
    <w:p>
      <w:pPr>
        <w:pStyle w:val="6"/>
        <w:rPr>
          <w:b/>
          <w:szCs w:val="24"/>
        </w:rPr>
      </w:pPr>
      <w:bookmarkStart w:id="179" w:name="_Toc152042315"/>
      <w:bookmarkStart w:id="180" w:name="_Toc247513962"/>
      <w:bookmarkStart w:id="181" w:name="_Toc144974507"/>
      <w:bookmarkStart w:id="182" w:name="_Toc152045539"/>
      <w:bookmarkStart w:id="183" w:name="_Toc247592876"/>
      <w:bookmarkStart w:id="184" w:name="_Toc296602429"/>
      <w:bookmarkStart w:id="185" w:name="_Toc247527563"/>
      <w:r>
        <w:rPr>
          <w:rFonts w:hint="eastAsia"/>
          <w:b/>
          <w:szCs w:val="24"/>
        </w:rPr>
        <w:t>1.8踏勘现场</w:t>
      </w:r>
      <w:bookmarkEnd w:id="179"/>
      <w:bookmarkEnd w:id="180"/>
      <w:bookmarkEnd w:id="181"/>
      <w:bookmarkEnd w:id="182"/>
      <w:bookmarkEnd w:id="183"/>
      <w:bookmarkEnd w:id="184"/>
      <w:bookmarkEnd w:id="185"/>
    </w:p>
    <w:p>
      <w:pPr>
        <w:spacing w:line="360" w:lineRule="auto"/>
        <w:ind w:firstLine="420" w:firstLineChars="200"/>
      </w:pPr>
      <w:r>
        <w:rPr>
          <w:rFonts w:hint="eastAsia"/>
        </w:rPr>
        <w:t>1.8.1 投标人自行踏勘现场，招标人不统一组织，投标人可在投标截止日之前对踏勘存在的疑问要求招标人进行澄清。</w:t>
      </w:r>
    </w:p>
    <w:p>
      <w:pPr>
        <w:spacing w:line="360" w:lineRule="auto"/>
        <w:ind w:firstLine="420" w:firstLineChars="200"/>
      </w:pPr>
      <w:r>
        <w:rPr>
          <w:rFonts w:hint="eastAsia"/>
        </w:rPr>
        <w:t>1.8.2 投标人踏勘现场发生的费用自理。</w:t>
      </w:r>
    </w:p>
    <w:p>
      <w:pPr>
        <w:spacing w:line="360" w:lineRule="auto"/>
        <w:ind w:firstLine="420" w:firstLineChars="200"/>
      </w:pPr>
      <w:r>
        <w:rPr>
          <w:rFonts w:hint="eastAsia"/>
        </w:rPr>
        <w:t>1.8.3 除招标人的原因外，投标人自行负责在踏勘现场中所发生的人员伤亡和财产损失。</w:t>
      </w:r>
    </w:p>
    <w:p>
      <w:pPr>
        <w:pStyle w:val="5"/>
        <w:rPr>
          <w:b/>
          <w:szCs w:val="24"/>
        </w:rPr>
      </w:pPr>
      <w:bookmarkStart w:id="186" w:name="_Toc4830"/>
      <w:bookmarkStart w:id="187" w:name="_Toc144974510"/>
      <w:bookmarkStart w:id="188" w:name="_Toc247085701"/>
      <w:bookmarkStart w:id="189" w:name="_Toc246996930"/>
      <w:bookmarkStart w:id="190" w:name="_Toc152042318"/>
      <w:bookmarkStart w:id="191" w:name="_Toc179632560"/>
      <w:bookmarkStart w:id="192" w:name="_Toc23862"/>
      <w:bookmarkStart w:id="193" w:name="_Toc25662"/>
      <w:bookmarkStart w:id="194" w:name="_Toc296602432"/>
      <w:bookmarkStart w:id="195" w:name="_Toc32242"/>
      <w:bookmarkStart w:id="196" w:name="_Toc246996187"/>
      <w:bookmarkStart w:id="197" w:name="_Toc12145"/>
      <w:bookmarkStart w:id="198" w:name="_Toc152045542"/>
      <w:r>
        <w:rPr>
          <w:rFonts w:hint="eastAsia"/>
          <w:b/>
          <w:szCs w:val="24"/>
        </w:rPr>
        <w:t>2. 招标文件</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6"/>
        <w:keepNext w:val="0"/>
        <w:keepLines w:val="0"/>
        <w:rPr>
          <w:b/>
          <w:szCs w:val="24"/>
        </w:rPr>
      </w:pPr>
      <w:bookmarkStart w:id="199" w:name="_Toc296602433"/>
      <w:bookmarkStart w:id="200" w:name="_Toc179632561"/>
      <w:bookmarkStart w:id="201" w:name="_Toc246996931"/>
      <w:bookmarkStart w:id="202" w:name="_Toc152045543"/>
      <w:bookmarkStart w:id="203" w:name="_Toc152042319"/>
      <w:bookmarkStart w:id="204" w:name="_Toc246996188"/>
      <w:bookmarkStart w:id="205" w:name="_Toc144974511"/>
      <w:bookmarkStart w:id="206" w:name="_Toc247085702"/>
      <w:r>
        <w:rPr>
          <w:rFonts w:hint="eastAsia"/>
          <w:b/>
          <w:szCs w:val="24"/>
        </w:rPr>
        <w:t>2.1 招标文件的组成</w:t>
      </w:r>
      <w:bookmarkEnd w:id="199"/>
      <w:bookmarkEnd w:id="200"/>
      <w:bookmarkEnd w:id="201"/>
      <w:bookmarkEnd w:id="202"/>
      <w:bookmarkEnd w:id="203"/>
      <w:bookmarkEnd w:id="204"/>
      <w:bookmarkEnd w:id="205"/>
      <w:bookmarkEnd w:id="206"/>
    </w:p>
    <w:p>
      <w:pPr>
        <w:spacing w:line="360" w:lineRule="auto"/>
        <w:ind w:firstLine="359" w:firstLineChars="171"/>
      </w:pPr>
      <w:r>
        <w:rPr>
          <w:rFonts w:hint="eastAsia"/>
        </w:rPr>
        <w:t>2.1.1 本招标文件包括：</w:t>
      </w:r>
    </w:p>
    <w:p>
      <w:pPr>
        <w:spacing w:line="360" w:lineRule="auto"/>
        <w:ind w:firstLine="359" w:firstLineChars="171"/>
      </w:pPr>
      <w:r>
        <w:rPr>
          <w:rFonts w:hint="eastAsia"/>
        </w:rPr>
        <w:t>（1）招标公告；</w:t>
      </w:r>
    </w:p>
    <w:p>
      <w:pPr>
        <w:spacing w:line="360" w:lineRule="auto"/>
        <w:ind w:firstLine="359" w:firstLineChars="171"/>
      </w:pPr>
      <w:r>
        <w:rPr>
          <w:rFonts w:hint="eastAsia"/>
        </w:rPr>
        <w:t>（2）投标人须知；</w:t>
      </w:r>
    </w:p>
    <w:p>
      <w:pPr>
        <w:spacing w:line="360" w:lineRule="auto"/>
        <w:ind w:firstLine="359" w:firstLineChars="171"/>
      </w:pPr>
      <w:r>
        <w:rPr>
          <w:rFonts w:hint="eastAsia"/>
        </w:rPr>
        <w:t>（3）评标办法；</w:t>
      </w:r>
    </w:p>
    <w:p>
      <w:pPr>
        <w:spacing w:line="360" w:lineRule="auto"/>
        <w:ind w:firstLine="359" w:firstLineChars="171"/>
      </w:pPr>
      <w:r>
        <w:rPr>
          <w:rFonts w:hint="eastAsia"/>
        </w:rPr>
        <w:t>（4）投标文件格式；</w:t>
      </w:r>
    </w:p>
    <w:p>
      <w:pPr>
        <w:spacing w:line="360" w:lineRule="auto"/>
        <w:ind w:firstLine="359" w:firstLineChars="171"/>
      </w:pPr>
      <w:r>
        <w:rPr>
          <w:rFonts w:hint="eastAsia"/>
        </w:rPr>
        <w:t>（5）合同范本。</w:t>
      </w:r>
    </w:p>
    <w:p>
      <w:pPr>
        <w:spacing w:line="360" w:lineRule="auto"/>
        <w:ind w:firstLine="420" w:firstLineChars="200"/>
      </w:pPr>
      <w:r>
        <w:rPr>
          <w:rFonts w:hint="eastAsia"/>
        </w:rPr>
        <w:t>2.1.2 根据第2.2款和第2.3款对招标文件所作的澄清、修改，构成招标文件的组成部分。</w:t>
      </w:r>
    </w:p>
    <w:p>
      <w:pPr>
        <w:pStyle w:val="6"/>
        <w:rPr>
          <w:b/>
          <w:szCs w:val="24"/>
        </w:rPr>
      </w:pPr>
      <w:bookmarkStart w:id="207" w:name="_Toc247085703"/>
      <w:bookmarkStart w:id="208" w:name="_Toc296602434"/>
      <w:bookmarkStart w:id="209" w:name="_Toc152042320"/>
      <w:bookmarkStart w:id="210" w:name="_Toc246996932"/>
      <w:bookmarkStart w:id="211" w:name="_Toc152045544"/>
      <w:bookmarkStart w:id="212" w:name="_Toc179632562"/>
      <w:bookmarkStart w:id="213" w:name="_Toc246996189"/>
      <w:bookmarkStart w:id="214" w:name="_Toc144974512"/>
      <w:r>
        <w:rPr>
          <w:rFonts w:hint="eastAsia"/>
          <w:b/>
          <w:szCs w:val="24"/>
        </w:rPr>
        <w:t>2.2 招标文件的澄清</w:t>
      </w:r>
      <w:bookmarkEnd w:id="207"/>
      <w:bookmarkEnd w:id="208"/>
      <w:bookmarkEnd w:id="209"/>
      <w:bookmarkEnd w:id="210"/>
      <w:bookmarkEnd w:id="211"/>
      <w:bookmarkEnd w:id="212"/>
      <w:bookmarkEnd w:id="213"/>
      <w:bookmarkEnd w:id="214"/>
    </w:p>
    <w:p>
      <w:pPr>
        <w:spacing w:line="360" w:lineRule="auto"/>
        <w:ind w:firstLine="420" w:firstLineChars="200"/>
      </w:pPr>
      <w:r>
        <w:rPr>
          <w:rFonts w:hint="eastAsia"/>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20" w:firstLineChars="200"/>
      </w:pPr>
      <w:r>
        <w:rPr>
          <w:rFonts w:hint="eastAsia"/>
        </w:rPr>
        <w:t>2.2.2 招标文件的澄清以投标人须知前附表规定的形式发给所有下载招标文件的投标人，但不指明澄清问题的来源。</w:t>
      </w:r>
    </w:p>
    <w:p>
      <w:pPr>
        <w:spacing w:line="360" w:lineRule="auto"/>
        <w:ind w:firstLine="420" w:firstLineChars="200"/>
      </w:pPr>
      <w:r>
        <w:rPr>
          <w:rFonts w:hint="eastAsia"/>
        </w:rPr>
        <w:t>2.2.3 除非招标人认为确有必要答复，否则，招标人有权拒绝回复投标人在本章第 2.2.1 项规定的时间后的任何澄清要求。</w:t>
      </w:r>
    </w:p>
    <w:p>
      <w:pPr>
        <w:pStyle w:val="6"/>
        <w:rPr>
          <w:b/>
          <w:szCs w:val="24"/>
        </w:rPr>
      </w:pPr>
      <w:bookmarkStart w:id="215" w:name="_Toc152042321"/>
      <w:bookmarkStart w:id="216" w:name="_Toc296602435"/>
      <w:bookmarkStart w:id="217" w:name="_Toc152045545"/>
      <w:bookmarkStart w:id="218" w:name="_Toc246996933"/>
      <w:bookmarkStart w:id="219" w:name="_Toc247085704"/>
      <w:bookmarkStart w:id="220" w:name="_Toc246996190"/>
      <w:bookmarkStart w:id="221" w:name="_Toc144974513"/>
      <w:bookmarkStart w:id="222" w:name="_Toc179632563"/>
      <w:r>
        <w:rPr>
          <w:rFonts w:hint="eastAsia"/>
          <w:b/>
          <w:szCs w:val="24"/>
        </w:rPr>
        <w:t>2.3 招标文件的修改</w:t>
      </w:r>
      <w:bookmarkEnd w:id="215"/>
      <w:bookmarkEnd w:id="216"/>
      <w:bookmarkEnd w:id="217"/>
      <w:bookmarkEnd w:id="218"/>
      <w:bookmarkEnd w:id="219"/>
      <w:bookmarkEnd w:id="220"/>
      <w:bookmarkEnd w:id="221"/>
      <w:bookmarkEnd w:id="222"/>
    </w:p>
    <w:p>
      <w:pPr>
        <w:spacing w:line="360" w:lineRule="auto"/>
        <w:ind w:firstLine="420" w:firstLineChars="200"/>
      </w:pPr>
      <w:bookmarkStart w:id="223" w:name="_Toc152045546"/>
      <w:bookmarkStart w:id="224" w:name="_Toc246996934"/>
      <w:bookmarkStart w:id="225" w:name="_Toc144974514"/>
      <w:bookmarkStart w:id="226" w:name="_Toc247085705"/>
      <w:bookmarkStart w:id="227" w:name="_Toc246996191"/>
      <w:bookmarkStart w:id="228" w:name="_Toc296602436"/>
      <w:bookmarkStart w:id="229" w:name="_Toc179632564"/>
      <w:bookmarkStart w:id="230" w:name="_Toc152042322"/>
      <w:r>
        <w:rPr>
          <w:rFonts w:hint="eastAsia"/>
        </w:rPr>
        <w:t>2.3.1 招标人以投标人须知前附表规定的形式修改招标文件，并通知所有已购买招标文件的投标人。</w:t>
      </w:r>
    </w:p>
    <w:p>
      <w:pPr>
        <w:spacing w:line="360" w:lineRule="auto"/>
        <w:ind w:firstLine="420" w:firstLineChars="200"/>
      </w:pPr>
      <w:r>
        <w:rPr>
          <w:rFonts w:hint="eastAsia"/>
        </w:rPr>
        <w:t>2.3.2 投标人收到修改内容后，应按投标人须知前附表规定的时间和形式通知招标人，确认已收到该修改。</w:t>
      </w:r>
    </w:p>
    <w:p>
      <w:pPr>
        <w:pStyle w:val="5"/>
        <w:rPr>
          <w:b/>
          <w:szCs w:val="24"/>
        </w:rPr>
      </w:pPr>
      <w:bookmarkStart w:id="231" w:name="_Toc17573"/>
      <w:bookmarkStart w:id="232" w:name="_Toc1698"/>
      <w:bookmarkStart w:id="233" w:name="_Toc29146"/>
      <w:bookmarkStart w:id="234" w:name="_Toc16121"/>
      <w:bookmarkStart w:id="235" w:name="_Toc22440"/>
      <w:r>
        <w:rPr>
          <w:rFonts w:hint="eastAsia"/>
          <w:b/>
          <w:szCs w:val="24"/>
        </w:rPr>
        <w:t>3. 投标文件</w:t>
      </w:r>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6"/>
        <w:rPr>
          <w:b/>
          <w:szCs w:val="24"/>
        </w:rPr>
      </w:pPr>
      <w:bookmarkStart w:id="236" w:name="_Toc296602437"/>
      <w:bookmarkStart w:id="237" w:name="_Toc152042323"/>
      <w:bookmarkStart w:id="238" w:name="_Toc144974515"/>
      <w:bookmarkStart w:id="239" w:name="_Toc246996192"/>
      <w:bookmarkStart w:id="240" w:name="_Toc152045547"/>
      <w:bookmarkStart w:id="241" w:name="_Toc246996935"/>
      <w:bookmarkStart w:id="242" w:name="_Toc247085706"/>
      <w:bookmarkStart w:id="243" w:name="_Toc179632565"/>
      <w:r>
        <w:rPr>
          <w:rFonts w:hint="eastAsia"/>
          <w:b/>
          <w:szCs w:val="24"/>
        </w:rPr>
        <w:t>3.1 投标文件的组成</w:t>
      </w:r>
      <w:bookmarkEnd w:id="236"/>
      <w:bookmarkEnd w:id="237"/>
      <w:bookmarkEnd w:id="238"/>
      <w:bookmarkEnd w:id="239"/>
      <w:bookmarkEnd w:id="240"/>
      <w:bookmarkEnd w:id="241"/>
      <w:bookmarkEnd w:id="242"/>
      <w:bookmarkEnd w:id="243"/>
    </w:p>
    <w:p>
      <w:pPr>
        <w:spacing w:line="360" w:lineRule="auto"/>
        <w:ind w:firstLine="420" w:firstLineChars="200"/>
      </w:pPr>
      <w:r>
        <w:rPr>
          <w:rFonts w:hint="eastAsia"/>
        </w:rPr>
        <w:t>投标文件应包括下列内容：</w:t>
      </w:r>
    </w:p>
    <w:p>
      <w:pPr>
        <w:spacing w:line="360" w:lineRule="auto"/>
        <w:ind w:firstLine="420" w:firstLineChars="200"/>
      </w:pPr>
      <w:bookmarkStart w:id="244" w:name="_Toc246996936"/>
      <w:bookmarkStart w:id="245" w:name="_Toc144974516"/>
      <w:bookmarkStart w:id="246" w:name="_Toc296602438"/>
      <w:bookmarkStart w:id="247" w:name="_Toc152042324"/>
      <w:bookmarkStart w:id="248" w:name="_Toc247085707"/>
      <w:bookmarkStart w:id="249" w:name="_Toc152045548"/>
      <w:bookmarkStart w:id="250" w:name="_Toc179632566"/>
      <w:bookmarkStart w:id="251" w:name="_Toc246996193"/>
      <w:r>
        <w:rPr>
          <w:rFonts w:hint="eastAsia"/>
        </w:rPr>
        <w:t>（1）投标函</w:t>
      </w:r>
    </w:p>
    <w:p>
      <w:pPr>
        <w:spacing w:line="360" w:lineRule="auto"/>
        <w:ind w:firstLine="420" w:firstLineChars="200"/>
      </w:pPr>
      <w:r>
        <w:rPr>
          <w:rFonts w:hint="eastAsia"/>
        </w:rPr>
        <w:t>（2）授权委托书</w:t>
      </w:r>
    </w:p>
    <w:p>
      <w:pPr>
        <w:spacing w:line="360" w:lineRule="auto"/>
        <w:ind w:firstLine="420" w:firstLineChars="200"/>
      </w:pPr>
      <w:r>
        <w:rPr>
          <w:rFonts w:hint="eastAsia"/>
        </w:rPr>
        <w:t>（3）投标保证金</w:t>
      </w:r>
    </w:p>
    <w:p>
      <w:pPr>
        <w:spacing w:line="360" w:lineRule="auto"/>
        <w:ind w:firstLine="420" w:firstLineChars="200"/>
      </w:pPr>
      <w:r>
        <w:rPr>
          <w:rFonts w:hint="eastAsia"/>
        </w:rPr>
        <w:t>（4）资格审查资料</w:t>
      </w:r>
    </w:p>
    <w:p>
      <w:pPr>
        <w:spacing w:line="360" w:lineRule="auto"/>
        <w:ind w:firstLine="420" w:firstLineChars="200"/>
      </w:pPr>
      <w:r>
        <w:rPr>
          <w:rFonts w:hint="eastAsia"/>
        </w:rPr>
        <w:t>（5）运营方案</w:t>
      </w:r>
    </w:p>
    <w:p>
      <w:pPr>
        <w:spacing w:line="360" w:lineRule="auto"/>
        <w:ind w:firstLine="420" w:firstLineChars="200"/>
      </w:pPr>
      <w:r>
        <w:rPr>
          <w:rFonts w:hint="eastAsia"/>
        </w:rPr>
        <w:t>（6）拟派服务团队人员情况</w:t>
      </w:r>
    </w:p>
    <w:p>
      <w:pPr>
        <w:pStyle w:val="6"/>
        <w:rPr>
          <w:b/>
          <w:szCs w:val="24"/>
        </w:rPr>
      </w:pPr>
      <w:r>
        <w:rPr>
          <w:rFonts w:hint="eastAsia"/>
          <w:b/>
          <w:szCs w:val="24"/>
        </w:rPr>
        <w:t>3.2 投标报价</w:t>
      </w:r>
      <w:bookmarkEnd w:id="244"/>
      <w:bookmarkEnd w:id="245"/>
      <w:bookmarkEnd w:id="246"/>
      <w:bookmarkEnd w:id="247"/>
      <w:bookmarkEnd w:id="248"/>
      <w:bookmarkEnd w:id="249"/>
      <w:bookmarkEnd w:id="250"/>
      <w:bookmarkEnd w:id="251"/>
    </w:p>
    <w:p>
      <w:pPr>
        <w:spacing w:line="360" w:lineRule="auto"/>
        <w:ind w:firstLine="420" w:firstLineChars="200"/>
      </w:pPr>
      <w:bookmarkStart w:id="252" w:name="_Toc152045549"/>
      <w:bookmarkStart w:id="253" w:name="_Toc152042325"/>
      <w:bookmarkStart w:id="254" w:name="_Toc179632567"/>
      <w:bookmarkStart w:id="255" w:name="_Toc144974517"/>
      <w:r>
        <w:rPr>
          <w:rFonts w:hint="eastAsia"/>
        </w:rPr>
        <w:t>3.2.1 投标人应按第四章“投标文件格式”的要求填写报价。</w:t>
      </w:r>
    </w:p>
    <w:p>
      <w:pPr>
        <w:spacing w:line="360" w:lineRule="auto"/>
        <w:ind w:firstLine="420" w:firstLineChars="200"/>
      </w:pPr>
      <w:r>
        <w:rPr>
          <w:rFonts w:hint="eastAsia"/>
        </w:rPr>
        <w:t>3.2.3 招标人设有最低投标限价的，投标人的投标报价不得低于最低投标限价，最低投标限价在投标人须知前附表中载明。</w:t>
      </w:r>
    </w:p>
    <w:p>
      <w:pPr>
        <w:pStyle w:val="2"/>
        <w:ind w:left="0" w:leftChars="0" w:firstLine="420"/>
        <w:rPr>
          <w:rFonts w:hint="default"/>
        </w:rPr>
      </w:pPr>
      <w:r>
        <w:t>3.2.4招标方式，在投标人须知前附表中载明。</w:t>
      </w:r>
    </w:p>
    <w:p>
      <w:pPr>
        <w:pStyle w:val="6"/>
        <w:rPr>
          <w:b/>
          <w:szCs w:val="24"/>
        </w:rPr>
      </w:pPr>
      <w:bookmarkStart w:id="256" w:name="_Toc247085708"/>
      <w:bookmarkStart w:id="257" w:name="_Toc296602439"/>
      <w:bookmarkStart w:id="258" w:name="_Toc246996937"/>
      <w:bookmarkStart w:id="259" w:name="_Toc246996194"/>
      <w:r>
        <w:rPr>
          <w:rFonts w:hint="eastAsia"/>
          <w:b/>
          <w:szCs w:val="24"/>
        </w:rPr>
        <w:t>3.3 投标有效期</w:t>
      </w:r>
      <w:bookmarkEnd w:id="252"/>
      <w:bookmarkEnd w:id="253"/>
      <w:bookmarkEnd w:id="254"/>
      <w:bookmarkEnd w:id="255"/>
      <w:bookmarkEnd w:id="256"/>
      <w:bookmarkEnd w:id="257"/>
      <w:bookmarkEnd w:id="258"/>
      <w:bookmarkEnd w:id="259"/>
    </w:p>
    <w:p>
      <w:pPr>
        <w:spacing w:line="360" w:lineRule="auto"/>
        <w:ind w:firstLine="420" w:firstLineChars="200"/>
      </w:pPr>
      <w:r>
        <w:rPr>
          <w:rFonts w:hint="eastAsia"/>
        </w:rPr>
        <w:t>3.3.1 除投标人须知前附表另有规定外，投标有效期为60天。</w:t>
      </w:r>
    </w:p>
    <w:p>
      <w:pPr>
        <w:spacing w:line="360" w:lineRule="auto"/>
        <w:ind w:firstLine="420" w:firstLineChars="200"/>
      </w:pPr>
      <w:r>
        <w:rPr>
          <w:rFonts w:hint="eastAsia"/>
        </w:rPr>
        <w:t>3.3.2在投标有效期内，投标人撤销或修改其投标文件的，应承担招标文件和法律规定的责任。</w:t>
      </w:r>
    </w:p>
    <w:p>
      <w:pPr>
        <w:spacing w:line="360" w:lineRule="auto"/>
        <w:ind w:firstLine="420" w:firstLineChars="200"/>
        <w:rPr>
          <w:rFonts w:ascii="楷体_GB2312" w:hAnsi="宋体" w:eastAsia="楷体_GB2312"/>
          <w:szCs w:val="21"/>
        </w:rPr>
      </w:pPr>
      <w:r>
        <w:rPr>
          <w:rFonts w:hint="eastAsia"/>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6"/>
        <w:rPr>
          <w:b/>
          <w:szCs w:val="24"/>
        </w:rPr>
      </w:pPr>
      <w:bookmarkStart w:id="260" w:name="_Toc179632568"/>
      <w:bookmarkStart w:id="261" w:name="_Toc144974518"/>
      <w:bookmarkStart w:id="262" w:name="_Toc152042326"/>
      <w:bookmarkStart w:id="263" w:name="_Toc296602440"/>
      <w:bookmarkStart w:id="264" w:name="_Toc246996938"/>
      <w:bookmarkStart w:id="265" w:name="_Toc246996195"/>
      <w:bookmarkStart w:id="266" w:name="_Toc152045550"/>
      <w:bookmarkStart w:id="267" w:name="_Toc247085709"/>
      <w:r>
        <w:rPr>
          <w:rFonts w:hint="eastAsia"/>
          <w:b/>
          <w:szCs w:val="24"/>
        </w:rPr>
        <w:t>3.4 投标保证金</w:t>
      </w:r>
      <w:bookmarkEnd w:id="260"/>
      <w:bookmarkEnd w:id="261"/>
      <w:bookmarkEnd w:id="262"/>
      <w:bookmarkEnd w:id="263"/>
      <w:bookmarkEnd w:id="264"/>
      <w:bookmarkEnd w:id="265"/>
      <w:bookmarkEnd w:id="266"/>
      <w:bookmarkEnd w:id="267"/>
    </w:p>
    <w:p>
      <w:pPr>
        <w:spacing w:line="360" w:lineRule="auto"/>
        <w:ind w:firstLine="420" w:firstLineChars="200"/>
      </w:pPr>
      <w:r>
        <w:rPr>
          <w:rFonts w:hint="eastAsia"/>
        </w:rPr>
        <w:t>3.4.1 投标人须知前附表规定递交投标保证金的，投标人在递交投标文件的同时，应按投标人须知前附表规定的金额、担保形式和第四章“投标文件格式”规定的或者事先经过招标人认可的投标保证金格式递交投标保证金，并作为其投标文件的组成部分。</w:t>
      </w:r>
    </w:p>
    <w:p>
      <w:pPr>
        <w:spacing w:line="360" w:lineRule="auto"/>
        <w:ind w:firstLine="420" w:firstLineChars="200"/>
      </w:pPr>
      <w:r>
        <w:rPr>
          <w:rFonts w:hint="eastAsia"/>
        </w:rPr>
        <w:t>3.4.2 投标人不按本章第3.4.1项要求提交投标保证金的，评标委员会将否决其投标。</w:t>
      </w:r>
    </w:p>
    <w:p>
      <w:pPr>
        <w:spacing w:line="360" w:lineRule="auto"/>
        <w:ind w:firstLine="420" w:firstLineChars="200"/>
      </w:pPr>
      <w:r>
        <w:rPr>
          <w:rFonts w:hint="eastAsia"/>
        </w:rPr>
        <w:t>3.4.3 招标人与中标人签订合同后10日内，向未中标的投标人和中标人退还投标保证金（无利息）。</w:t>
      </w:r>
    </w:p>
    <w:p>
      <w:pPr>
        <w:spacing w:line="360" w:lineRule="auto"/>
        <w:ind w:firstLine="420" w:firstLineChars="200"/>
      </w:pPr>
      <w:r>
        <w:rPr>
          <w:rFonts w:hint="eastAsia"/>
        </w:rPr>
        <w:t>3.4.4投标人在规定的投标有效期内撤销或修改其投标文件，投标保证金将不予退还。</w:t>
      </w:r>
    </w:p>
    <w:p>
      <w:pPr>
        <w:pStyle w:val="6"/>
        <w:rPr>
          <w:b/>
          <w:szCs w:val="24"/>
        </w:rPr>
      </w:pPr>
      <w:bookmarkStart w:id="268" w:name="_Toc296602441"/>
      <w:bookmarkStart w:id="269" w:name="_Toc179632570"/>
      <w:bookmarkStart w:id="270" w:name="_Toc152042328"/>
      <w:bookmarkStart w:id="271" w:name="_Toc144974520"/>
      <w:bookmarkStart w:id="272" w:name="_Toc246996939"/>
      <w:bookmarkStart w:id="273" w:name="_Toc152045552"/>
      <w:bookmarkStart w:id="274" w:name="_Toc247085710"/>
      <w:bookmarkStart w:id="275" w:name="_Toc246996196"/>
      <w:r>
        <w:rPr>
          <w:rFonts w:hint="eastAsia"/>
          <w:b/>
          <w:szCs w:val="24"/>
        </w:rPr>
        <w:t>3.5 履约保函</w:t>
      </w:r>
    </w:p>
    <w:p>
      <w:pPr>
        <w:spacing w:line="360" w:lineRule="auto"/>
        <w:ind w:firstLine="420" w:firstLineChars="200"/>
        <w:rPr>
          <w:b/>
        </w:rPr>
      </w:pPr>
      <w:r>
        <w:rPr>
          <w:rFonts w:hint="eastAsia" w:ascii="Calibri" w:hAnsi="Calibri" w:eastAsia="宋体" w:cs="Times New Roman"/>
          <w:bCs/>
        </w:rPr>
        <w:t>中标人在合同签订7日内，应向招标人提交由国内任何一家银行出具的金额为合同总价（12年租金）10%的履约保函，履约担保期不得低于合同有效期。具体违约责任见合同约定</w:t>
      </w:r>
      <w:r>
        <w:rPr>
          <w:rFonts w:hint="eastAsia" w:ascii="Calibri" w:hAnsi="Calibri" w:cs="Times New Roman"/>
        </w:rPr>
        <w:t>。</w:t>
      </w:r>
      <w:r>
        <w:rPr>
          <w:rFonts w:hint="eastAsia" w:ascii="Calibri" w:hAnsi="Calibri" w:eastAsia="宋体" w:cs="Times New Roman"/>
          <w:bCs/>
        </w:rPr>
        <w:t>如果中标人未按合同要求履行相应义务，招标人可取消该授标，在此情况招标人可选取第二顺位中标候选人中标，以此类推或重新招标。</w:t>
      </w:r>
    </w:p>
    <w:p>
      <w:pPr>
        <w:pStyle w:val="6"/>
        <w:rPr>
          <w:b/>
          <w:szCs w:val="24"/>
        </w:rPr>
      </w:pPr>
      <w:r>
        <w:rPr>
          <w:rFonts w:hint="eastAsia"/>
          <w:b/>
          <w:szCs w:val="24"/>
        </w:rPr>
        <w:t>3.6 资格审查资料</w:t>
      </w:r>
      <w:bookmarkEnd w:id="268"/>
      <w:bookmarkEnd w:id="269"/>
      <w:bookmarkEnd w:id="270"/>
      <w:bookmarkEnd w:id="271"/>
      <w:bookmarkEnd w:id="272"/>
      <w:bookmarkEnd w:id="273"/>
      <w:bookmarkEnd w:id="274"/>
      <w:bookmarkEnd w:id="275"/>
    </w:p>
    <w:p>
      <w:pPr>
        <w:spacing w:line="360" w:lineRule="auto"/>
        <w:ind w:firstLine="420" w:firstLineChars="200"/>
      </w:pPr>
      <w:r>
        <w:rPr>
          <w:rFonts w:hint="eastAsia"/>
        </w:rPr>
        <w:t>3.6.1 见第四章投标文件格式。</w:t>
      </w:r>
    </w:p>
    <w:p>
      <w:pPr>
        <w:pStyle w:val="6"/>
        <w:rPr>
          <w:b/>
          <w:szCs w:val="24"/>
        </w:rPr>
      </w:pPr>
      <w:bookmarkStart w:id="276" w:name="_Toc296602442"/>
      <w:bookmarkStart w:id="277" w:name="_Toc246996197"/>
      <w:bookmarkStart w:id="278" w:name="_Toc152042329"/>
      <w:bookmarkStart w:id="279" w:name="_Toc152045553"/>
      <w:bookmarkStart w:id="280" w:name="_Toc179632571"/>
      <w:bookmarkStart w:id="281" w:name="_Toc246996940"/>
      <w:bookmarkStart w:id="282" w:name="_Toc247085711"/>
      <w:bookmarkStart w:id="283" w:name="_Toc144974521"/>
      <w:r>
        <w:rPr>
          <w:rFonts w:hint="eastAsia"/>
          <w:b/>
          <w:szCs w:val="24"/>
        </w:rPr>
        <w:t>3.7投标文件的编制</w:t>
      </w:r>
      <w:bookmarkEnd w:id="276"/>
    </w:p>
    <w:p>
      <w:pPr>
        <w:spacing w:line="360" w:lineRule="auto"/>
        <w:ind w:firstLine="420" w:firstLineChars="200"/>
      </w:pPr>
      <w:r>
        <w:rPr>
          <w:rFonts w:hint="eastAsia"/>
        </w:rPr>
        <w:t>3.7.1投标文件应按第四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rPr>
          <w:szCs w:val="21"/>
        </w:rPr>
      </w:pPr>
      <w:r>
        <w:rPr>
          <w:rFonts w:hint="eastAsia"/>
        </w:rPr>
        <w:t>3.7.2 投标文件应当对招标文件有关商务报价、</w:t>
      </w:r>
      <w:r>
        <w:rPr>
          <w:rFonts w:hint="eastAsia"/>
          <w:szCs w:val="21"/>
        </w:rPr>
        <w:t>资质条件、近年业绩、企业信誉及运营方案等实质性内容作出响应。</w:t>
      </w:r>
    </w:p>
    <w:bookmarkEnd w:id="277"/>
    <w:bookmarkEnd w:id="278"/>
    <w:bookmarkEnd w:id="279"/>
    <w:bookmarkEnd w:id="280"/>
    <w:bookmarkEnd w:id="281"/>
    <w:bookmarkEnd w:id="282"/>
    <w:bookmarkEnd w:id="283"/>
    <w:p>
      <w:pPr>
        <w:pStyle w:val="5"/>
        <w:rPr>
          <w:b/>
          <w:szCs w:val="24"/>
        </w:rPr>
      </w:pPr>
      <w:bookmarkStart w:id="284" w:name="_Toc144974523"/>
      <w:bookmarkStart w:id="285" w:name="_Toc246996942"/>
      <w:bookmarkStart w:id="286" w:name="_Toc152042331"/>
      <w:bookmarkStart w:id="287" w:name="_Toc179632573"/>
      <w:bookmarkStart w:id="288" w:name="_Toc247085713"/>
      <w:bookmarkStart w:id="289" w:name="_Toc5931"/>
      <w:bookmarkStart w:id="290" w:name="_Toc6243"/>
      <w:bookmarkStart w:id="291" w:name="_Toc246996199"/>
      <w:bookmarkStart w:id="292" w:name="_Toc26118"/>
      <w:bookmarkStart w:id="293" w:name="_Toc1748"/>
      <w:bookmarkStart w:id="294" w:name="_Toc296602443"/>
      <w:bookmarkStart w:id="295" w:name="_Toc152045555"/>
      <w:bookmarkStart w:id="296" w:name="_Toc30468"/>
      <w:r>
        <w:rPr>
          <w:rFonts w:hint="eastAsia"/>
          <w:b/>
          <w:szCs w:val="24"/>
        </w:rPr>
        <w:t>4. 投标</w:t>
      </w:r>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6"/>
        <w:rPr>
          <w:b/>
          <w:szCs w:val="24"/>
        </w:rPr>
      </w:pPr>
      <w:bookmarkStart w:id="297" w:name="_Toc247085714"/>
      <w:bookmarkStart w:id="298" w:name="_Toc179632574"/>
      <w:bookmarkStart w:id="299" w:name="_Toc152042332"/>
      <w:bookmarkStart w:id="300" w:name="_Toc246996200"/>
      <w:bookmarkStart w:id="301" w:name="_Toc296602444"/>
      <w:bookmarkStart w:id="302" w:name="_Toc152045556"/>
      <w:bookmarkStart w:id="303" w:name="_Toc144974524"/>
      <w:bookmarkStart w:id="304" w:name="_Toc246996943"/>
      <w:r>
        <w:rPr>
          <w:rFonts w:hint="eastAsia"/>
          <w:b/>
          <w:szCs w:val="24"/>
        </w:rPr>
        <w:t>4.1 投标文件的密封</w:t>
      </w:r>
      <w:bookmarkEnd w:id="297"/>
      <w:bookmarkEnd w:id="298"/>
      <w:bookmarkEnd w:id="299"/>
      <w:bookmarkEnd w:id="300"/>
      <w:bookmarkEnd w:id="301"/>
      <w:bookmarkEnd w:id="302"/>
      <w:bookmarkEnd w:id="303"/>
      <w:bookmarkEnd w:id="304"/>
    </w:p>
    <w:p>
      <w:pPr>
        <w:spacing w:line="360" w:lineRule="auto"/>
        <w:ind w:firstLine="420" w:firstLineChars="200"/>
      </w:pPr>
      <w:bookmarkStart w:id="305" w:name="_Toc144974525"/>
      <w:bookmarkStart w:id="306" w:name="_Toc152045557"/>
      <w:bookmarkStart w:id="307" w:name="_Toc246996201"/>
      <w:bookmarkStart w:id="308" w:name="_Toc247085715"/>
      <w:bookmarkStart w:id="309" w:name="_Toc246996944"/>
      <w:bookmarkStart w:id="310" w:name="_Toc179632575"/>
      <w:bookmarkStart w:id="311" w:name="_Toc152042333"/>
      <w:r>
        <w:rPr>
          <w:rFonts w:hint="eastAsia"/>
        </w:rPr>
        <w:t>投标人应当按照招标文件的要求密封，封套应标明：</w:t>
      </w:r>
    </w:p>
    <w:p>
      <w:pPr>
        <w:spacing w:line="360" w:lineRule="auto"/>
        <w:ind w:firstLine="420" w:firstLineChars="200"/>
      </w:pPr>
      <w:r>
        <w:rPr>
          <w:rFonts w:hint="eastAsia"/>
        </w:rPr>
        <w:t>采购人地址：河北省衡水市景县景新大街水木人家6层</w:t>
      </w:r>
    </w:p>
    <w:p>
      <w:pPr>
        <w:spacing w:line="360" w:lineRule="auto"/>
        <w:ind w:firstLine="420" w:firstLineChars="200"/>
      </w:pPr>
      <w:r>
        <w:rPr>
          <w:rFonts w:hint="eastAsia"/>
        </w:rPr>
        <w:t>采购人全称：景县景州仲舒文体中心有限责任公司</w:t>
      </w:r>
    </w:p>
    <w:p>
      <w:pPr>
        <w:spacing w:line="360" w:lineRule="auto"/>
        <w:ind w:firstLine="420" w:firstLineChars="200"/>
      </w:pPr>
      <w:r>
        <w:rPr>
          <w:rFonts w:hint="eastAsia"/>
        </w:rPr>
        <w:t>景州文体中心电影场馆委托运营服务项目投标文件</w:t>
      </w:r>
    </w:p>
    <w:p>
      <w:pPr>
        <w:spacing w:line="360" w:lineRule="auto"/>
        <w:ind w:firstLine="420" w:firstLineChars="200"/>
      </w:pPr>
      <w:r>
        <w:rPr>
          <w:rFonts w:hint="eastAsia"/>
          <w:color w:val="auto"/>
        </w:rPr>
        <w:t>（在</w:t>
      </w:r>
      <w:r>
        <w:rPr>
          <w:rFonts w:ascii="宋体" w:hAnsi="宋体" w:eastAsia="宋体" w:cs="宋体"/>
          <w:color w:val="auto"/>
          <w:szCs w:val="21"/>
        </w:rPr>
        <w:t>2020年4月28日 09时 30分</w:t>
      </w:r>
      <w:r>
        <w:rPr>
          <w:rFonts w:hint="eastAsia"/>
          <w:color w:val="auto"/>
        </w:rPr>
        <w:t>前不得开启）。</w:t>
      </w:r>
    </w:p>
    <w:p>
      <w:pPr>
        <w:pStyle w:val="6"/>
        <w:rPr>
          <w:b/>
          <w:szCs w:val="24"/>
        </w:rPr>
      </w:pPr>
      <w:bookmarkStart w:id="312" w:name="_Toc296602445"/>
      <w:r>
        <w:rPr>
          <w:rFonts w:hint="eastAsia"/>
          <w:b/>
          <w:szCs w:val="24"/>
        </w:rPr>
        <w:t>4.2 投标文件的递交</w:t>
      </w:r>
      <w:bookmarkEnd w:id="305"/>
      <w:bookmarkEnd w:id="306"/>
      <w:bookmarkEnd w:id="307"/>
      <w:bookmarkEnd w:id="308"/>
      <w:bookmarkEnd w:id="309"/>
      <w:bookmarkEnd w:id="310"/>
      <w:bookmarkEnd w:id="311"/>
      <w:bookmarkEnd w:id="312"/>
    </w:p>
    <w:p>
      <w:pPr>
        <w:spacing w:line="360" w:lineRule="auto"/>
        <w:ind w:firstLine="420" w:firstLineChars="200"/>
      </w:pPr>
      <w:r>
        <w:rPr>
          <w:rFonts w:hint="eastAsia"/>
        </w:rPr>
        <w:t>除投标人须知前附表另有规定外，投标人所递交的投标文件不予退还。</w:t>
      </w:r>
    </w:p>
    <w:p>
      <w:pPr>
        <w:pStyle w:val="5"/>
        <w:rPr>
          <w:b/>
          <w:szCs w:val="24"/>
        </w:rPr>
      </w:pPr>
      <w:bookmarkStart w:id="313" w:name="_Toc152045559"/>
      <w:bookmarkStart w:id="314" w:name="_Toc144974527"/>
      <w:bookmarkStart w:id="315" w:name="_Toc2651"/>
      <w:bookmarkStart w:id="316" w:name="_Toc152042335"/>
      <w:bookmarkStart w:id="317" w:name="_Toc3206"/>
      <w:bookmarkStart w:id="318" w:name="_Toc22106"/>
      <w:bookmarkStart w:id="319" w:name="_Toc247085717"/>
      <w:bookmarkStart w:id="320" w:name="_Toc25548"/>
      <w:bookmarkStart w:id="321" w:name="_Toc15395"/>
      <w:bookmarkStart w:id="322" w:name="_Toc246996203"/>
      <w:bookmarkStart w:id="323" w:name="_Toc296602447"/>
      <w:bookmarkStart w:id="324" w:name="_Toc246996946"/>
      <w:bookmarkStart w:id="325" w:name="_Toc179632577"/>
      <w:r>
        <w:rPr>
          <w:rFonts w:hint="eastAsia"/>
          <w:b/>
          <w:szCs w:val="24"/>
        </w:rPr>
        <w:t>5. 开标</w:t>
      </w:r>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6"/>
        <w:rPr>
          <w:b/>
          <w:szCs w:val="24"/>
        </w:rPr>
      </w:pPr>
      <w:bookmarkStart w:id="326" w:name="_Toc179632578"/>
      <w:bookmarkStart w:id="327" w:name="_Toc246996947"/>
      <w:bookmarkStart w:id="328" w:name="_Toc152045560"/>
      <w:bookmarkStart w:id="329" w:name="_Toc152042336"/>
      <w:bookmarkStart w:id="330" w:name="_Toc144974528"/>
      <w:bookmarkStart w:id="331" w:name="_Toc247085718"/>
      <w:bookmarkStart w:id="332" w:name="_Toc246996204"/>
      <w:bookmarkStart w:id="333" w:name="_Toc296602448"/>
      <w:r>
        <w:rPr>
          <w:rFonts w:hint="eastAsia"/>
          <w:b/>
          <w:szCs w:val="24"/>
        </w:rPr>
        <w:t>5.1 开标时间</w:t>
      </w:r>
      <w:bookmarkEnd w:id="326"/>
      <w:bookmarkEnd w:id="327"/>
      <w:bookmarkEnd w:id="328"/>
      <w:bookmarkEnd w:id="329"/>
      <w:bookmarkEnd w:id="330"/>
      <w:bookmarkEnd w:id="331"/>
      <w:bookmarkEnd w:id="332"/>
      <w:bookmarkEnd w:id="333"/>
      <w:r>
        <w:rPr>
          <w:rFonts w:hint="eastAsia"/>
          <w:b/>
          <w:szCs w:val="24"/>
        </w:rPr>
        <w:t>及地点</w:t>
      </w:r>
    </w:p>
    <w:p>
      <w:pPr>
        <w:spacing w:line="360" w:lineRule="auto"/>
        <w:ind w:firstLine="420" w:firstLineChars="200"/>
      </w:pPr>
      <w:bookmarkStart w:id="334" w:name="_Toc246996205"/>
      <w:bookmarkStart w:id="335" w:name="_Toc247085719"/>
      <w:bookmarkStart w:id="336" w:name="_Toc179632579"/>
      <w:bookmarkStart w:id="337" w:name="_Toc296602449"/>
      <w:bookmarkStart w:id="338" w:name="_Toc246996948"/>
      <w:bookmarkStart w:id="339" w:name="_Toc144974529"/>
      <w:bookmarkStart w:id="340" w:name="_Toc152042337"/>
      <w:bookmarkStart w:id="341" w:name="_Toc152045561"/>
      <w:r>
        <w:rPr>
          <w:rFonts w:hint="eastAsia"/>
        </w:rPr>
        <w:t>开标时间及地点，见投资人须知前附表。</w:t>
      </w:r>
    </w:p>
    <w:p>
      <w:pPr>
        <w:pStyle w:val="6"/>
        <w:rPr>
          <w:b/>
          <w:szCs w:val="24"/>
        </w:rPr>
      </w:pPr>
      <w:r>
        <w:rPr>
          <w:rFonts w:hint="eastAsia"/>
          <w:b/>
          <w:szCs w:val="24"/>
        </w:rPr>
        <w:t>5.2 开标程序</w:t>
      </w:r>
      <w:bookmarkEnd w:id="334"/>
      <w:bookmarkEnd w:id="335"/>
      <w:bookmarkEnd w:id="336"/>
      <w:bookmarkEnd w:id="337"/>
      <w:bookmarkEnd w:id="338"/>
      <w:bookmarkEnd w:id="339"/>
      <w:bookmarkEnd w:id="340"/>
      <w:bookmarkEnd w:id="341"/>
    </w:p>
    <w:p>
      <w:pPr>
        <w:spacing w:line="360" w:lineRule="auto"/>
        <w:ind w:firstLine="420" w:firstLineChars="200"/>
      </w:pPr>
      <w:r>
        <w:rPr>
          <w:rFonts w:hint="eastAsia"/>
        </w:rPr>
        <w:t>主持人按下列程序进行开标：</w:t>
      </w:r>
    </w:p>
    <w:p>
      <w:pPr>
        <w:spacing w:line="360" w:lineRule="auto"/>
        <w:ind w:firstLine="420" w:firstLineChars="200"/>
      </w:pPr>
      <w:bookmarkStart w:id="342" w:name="_Toc296602450"/>
      <w:r>
        <w:rPr>
          <w:rFonts w:hint="eastAsia"/>
        </w:rPr>
        <w:t>（1）宣布开标纪律；</w:t>
      </w:r>
    </w:p>
    <w:p>
      <w:pPr>
        <w:spacing w:line="360" w:lineRule="auto"/>
        <w:ind w:firstLine="420" w:firstLineChars="200"/>
      </w:pPr>
      <w:r>
        <w:rPr>
          <w:rFonts w:hint="eastAsia"/>
        </w:rPr>
        <w:t>（2）公布参加投标的投标人名称；</w:t>
      </w:r>
    </w:p>
    <w:p>
      <w:pPr>
        <w:spacing w:line="360" w:lineRule="auto"/>
        <w:ind w:firstLine="420" w:firstLineChars="200"/>
      </w:pPr>
      <w:r>
        <w:rPr>
          <w:rFonts w:hint="eastAsia"/>
        </w:rPr>
        <w:t>（3）宣布开标人、评标人、记录人、监标人等有关人员姓名；</w:t>
      </w:r>
      <w:bookmarkStart w:id="343" w:name="page29"/>
      <w:bookmarkEnd w:id="343"/>
    </w:p>
    <w:p>
      <w:pPr>
        <w:spacing w:line="360" w:lineRule="auto"/>
        <w:ind w:firstLine="420" w:firstLineChars="200"/>
      </w:pPr>
      <w:r>
        <w:rPr>
          <w:rFonts w:hint="eastAsia"/>
        </w:rPr>
        <w:t>（4）评标委员会根据评分标准依次查阅投标文件，对疑问点进行询问；</w:t>
      </w:r>
    </w:p>
    <w:p>
      <w:pPr>
        <w:pStyle w:val="2"/>
        <w:ind w:left="0" w:leftChars="0" w:firstLine="420"/>
        <w:rPr>
          <w:rFonts w:hint="default"/>
        </w:rPr>
      </w:pPr>
      <w:r>
        <w:t>（5）评标委员会就投标文件进行打分；</w:t>
      </w:r>
    </w:p>
    <w:p>
      <w:pPr>
        <w:spacing w:line="360" w:lineRule="auto"/>
        <w:ind w:firstLine="420" w:firstLineChars="200"/>
      </w:pPr>
      <w:r>
        <w:rPr>
          <w:rFonts w:hint="eastAsia"/>
        </w:rPr>
        <w:t>（6）开标结束。</w:t>
      </w:r>
    </w:p>
    <w:bookmarkEnd w:id="342"/>
    <w:p>
      <w:pPr>
        <w:pStyle w:val="6"/>
        <w:rPr>
          <w:b/>
          <w:szCs w:val="24"/>
        </w:rPr>
      </w:pPr>
      <w:bookmarkStart w:id="344" w:name="_Toc246996206"/>
      <w:bookmarkStart w:id="345" w:name="_Toc296602451"/>
      <w:bookmarkStart w:id="346" w:name="_Toc179632580"/>
      <w:bookmarkStart w:id="347" w:name="_Toc152042338"/>
      <w:bookmarkStart w:id="348" w:name="_Toc246996949"/>
      <w:bookmarkStart w:id="349" w:name="_Toc247085720"/>
      <w:bookmarkStart w:id="350" w:name="_Toc144974530"/>
      <w:bookmarkStart w:id="351" w:name="_Toc152045562"/>
      <w:r>
        <w:rPr>
          <w:rFonts w:hint="eastAsia"/>
          <w:b/>
          <w:szCs w:val="24"/>
        </w:rPr>
        <w:t>5.3 开标异议</w:t>
      </w:r>
    </w:p>
    <w:p>
      <w:pPr>
        <w:spacing w:line="360" w:lineRule="auto"/>
        <w:ind w:firstLine="359" w:firstLineChars="171"/>
      </w:pPr>
      <w:r>
        <w:rPr>
          <w:rFonts w:hint="eastAsia"/>
        </w:rPr>
        <w:t>投标人对开标有异议的，应当在开标现场提出，招标人当场作出答复，并制作记录。</w:t>
      </w:r>
    </w:p>
    <w:p>
      <w:pPr>
        <w:pStyle w:val="5"/>
        <w:rPr>
          <w:b/>
          <w:szCs w:val="24"/>
        </w:rPr>
      </w:pPr>
      <w:bookmarkStart w:id="352" w:name="_Toc9653"/>
      <w:bookmarkStart w:id="353" w:name="_Toc6155"/>
      <w:bookmarkStart w:id="354" w:name="_Toc11396"/>
      <w:bookmarkStart w:id="355" w:name="_Toc21324"/>
      <w:bookmarkStart w:id="356" w:name="_Toc27031"/>
      <w:r>
        <w:rPr>
          <w:rFonts w:hint="eastAsia"/>
          <w:b/>
          <w:szCs w:val="24"/>
        </w:rPr>
        <w:t>6. 评标</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6"/>
        <w:rPr>
          <w:b/>
          <w:szCs w:val="24"/>
        </w:rPr>
      </w:pPr>
      <w:bookmarkStart w:id="357" w:name="_Toc246996950"/>
      <w:bookmarkStart w:id="358" w:name="_Toc179632581"/>
      <w:bookmarkStart w:id="359" w:name="_Toc247085721"/>
      <w:bookmarkStart w:id="360" w:name="_Toc152042339"/>
      <w:bookmarkStart w:id="361" w:name="_Toc246996207"/>
      <w:bookmarkStart w:id="362" w:name="_Toc152045563"/>
      <w:bookmarkStart w:id="363" w:name="_Toc144974531"/>
      <w:bookmarkStart w:id="364" w:name="_Toc296602452"/>
      <w:r>
        <w:rPr>
          <w:rFonts w:hint="eastAsia"/>
          <w:b/>
          <w:szCs w:val="24"/>
        </w:rPr>
        <w:t>6.1 评标委员会</w:t>
      </w:r>
      <w:bookmarkEnd w:id="357"/>
      <w:bookmarkEnd w:id="358"/>
      <w:bookmarkEnd w:id="359"/>
      <w:bookmarkEnd w:id="360"/>
      <w:bookmarkEnd w:id="361"/>
      <w:bookmarkEnd w:id="362"/>
      <w:bookmarkEnd w:id="363"/>
      <w:bookmarkEnd w:id="364"/>
    </w:p>
    <w:p>
      <w:pPr>
        <w:spacing w:line="360" w:lineRule="auto"/>
        <w:ind w:firstLine="420" w:firstLineChars="200"/>
      </w:pPr>
      <w:r>
        <w:rPr>
          <w:rFonts w:hint="eastAsia"/>
        </w:rPr>
        <w:t>6.1.1 评标由招标人依法组建的评标委员会负责。评标委员会由招标人代表，以及有关技术、经济等方面的专家组成。评标委员会成员人数以及技术、经济等方面专家的确定方式见投标人须知前附表。</w:t>
      </w:r>
    </w:p>
    <w:p>
      <w:pPr>
        <w:spacing w:line="360" w:lineRule="auto"/>
        <w:ind w:firstLine="420" w:firstLineChars="200"/>
      </w:pPr>
      <w:r>
        <w:rPr>
          <w:rFonts w:hint="eastAsia"/>
        </w:rPr>
        <w:t>6.1.2 评标委员会成员有下列情形之一的，应当回避：</w:t>
      </w:r>
    </w:p>
    <w:p>
      <w:pPr>
        <w:spacing w:line="360" w:lineRule="auto"/>
        <w:ind w:firstLine="359" w:firstLineChars="171"/>
      </w:pPr>
      <w:r>
        <w:rPr>
          <w:rFonts w:hint="eastAsia"/>
        </w:rPr>
        <w:t>（1）投标人或投标人主要负责人的近亲属；</w:t>
      </w:r>
    </w:p>
    <w:p>
      <w:pPr>
        <w:spacing w:line="360" w:lineRule="auto"/>
        <w:ind w:firstLine="359" w:firstLineChars="171"/>
      </w:pPr>
      <w:r>
        <w:rPr>
          <w:rFonts w:hint="eastAsia"/>
        </w:rPr>
        <w:t>（2）项目主管部门或者行政监督部门的人员；</w:t>
      </w:r>
    </w:p>
    <w:p>
      <w:pPr>
        <w:spacing w:line="360" w:lineRule="auto"/>
        <w:ind w:firstLine="359" w:firstLineChars="171"/>
      </w:pPr>
      <w:r>
        <w:rPr>
          <w:rFonts w:hint="eastAsia"/>
        </w:rPr>
        <w:t>（3）与投标人有经济利益关系；</w:t>
      </w:r>
    </w:p>
    <w:p>
      <w:pPr>
        <w:spacing w:line="360" w:lineRule="auto"/>
        <w:ind w:firstLine="359" w:firstLineChars="171"/>
      </w:pPr>
      <w:r>
        <w:rPr>
          <w:rFonts w:hint="eastAsia"/>
        </w:rPr>
        <w:t>（4）曾因在招标、评标以及其他与招标投标有关活动中从事违法行为而受过行政处罚或刑事处罚的；</w:t>
      </w:r>
    </w:p>
    <w:p>
      <w:pPr>
        <w:spacing w:line="360" w:lineRule="auto"/>
        <w:ind w:firstLine="359" w:firstLineChars="171"/>
      </w:pPr>
      <w:r>
        <w:rPr>
          <w:rFonts w:hint="eastAsia"/>
        </w:rPr>
        <w:t>（5）与投标人有其他利害关系。</w:t>
      </w:r>
    </w:p>
    <w:p>
      <w:pPr>
        <w:pStyle w:val="6"/>
        <w:rPr>
          <w:b/>
          <w:szCs w:val="24"/>
        </w:rPr>
      </w:pPr>
      <w:bookmarkStart w:id="365" w:name="_Toc152042340"/>
      <w:bookmarkStart w:id="366" w:name="_Toc144974532"/>
      <w:bookmarkStart w:id="367" w:name="_Toc247085722"/>
      <w:bookmarkStart w:id="368" w:name="_Toc296602453"/>
      <w:bookmarkStart w:id="369" w:name="_Toc179632582"/>
      <w:bookmarkStart w:id="370" w:name="_Toc246996208"/>
      <w:bookmarkStart w:id="371" w:name="_Toc152045564"/>
      <w:bookmarkStart w:id="372" w:name="_Toc246996951"/>
      <w:r>
        <w:rPr>
          <w:rFonts w:hint="eastAsia"/>
          <w:b/>
          <w:szCs w:val="24"/>
        </w:rPr>
        <w:t>6.2 评标原则</w:t>
      </w:r>
      <w:bookmarkEnd w:id="365"/>
      <w:bookmarkEnd w:id="366"/>
      <w:bookmarkEnd w:id="367"/>
      <w:bookmarkEnd w:id="368"/>
      <w:bookmarkEnd w:id="369"/>
      <w:bookmarkEnd w:id="370"/>
      <w:bookmarkEnd w:id="371"/>
      <w:bookmarkEnd w:id="372"/>
    </w:p>
    <w:p>
      <w:pPr>
        <w:spacing w:line="360" w:lineRule="auto"/>
        <w:ind w:firstLine="420" w:firstLineChars="200"/>
      </w:pPr>
      <w:r>
        <w:rPr>
          <w:rFonts w:hint="eastAsia"/>
        </w:rPr>
        <w:t>评标活动遵循公平、公正、科学和择优的原则。</w:t>
      </w:r>
    </w:p>
    <w:p>
      <w:pPr>
        <w:pStyle w:val="6"/>
        <w:rPr>
          <w:b/>
          <w:szCs w:val="24"/>
        </w:rPr>
      </w:pPr>
      <w:bookmarkStart w:id="373" w:name="_Toc144974533"/>
      <w:bookmarkStart w:id="374" w:name="_Toc152045565"/>
      <w:bookmarkStart w:id="375" w:name="_Toc296602454"/>
      <w:bookmarkStart w:id="376" w:name="_Toc152042341"/>
      <w:bookmarkStart w:id="377" w:name="_Toc246996209"/>
      <w:bookmarkStart w:id="378" w:name="_Toc247085723"/>
      <w:bookmarkStart w:id="379" w:name="_Toc179632583"/>
      <w:bookmarkStart w:id="380" w:name="_Toc246996952"/>
      <w:r>
        <w:rPr>
          <w:rFonts w:hint="eastAsia"/>
          <w:b/>
          <w:szCs w:val="24"/>
        </w:rPr>
        <w:t>6.3 评标</w:t>
      </w:r>
      <w:bookmarkEnd w:id="373"/>
      <w:bookmarkEnd w:id="374"/>
      <w:bookmarkEnd w:id="375"/>
      <w:bookmarkEnd w:id="376"/>
      <w:bookmarkEnd w:id="377"/>
      <w:bookmarkEnd w:id="378"/>
      <w:bookmarkEnd w:id="379"/>
      <w:bookmarkEnd w:id="380"/>
    </w:p>
    <w:p>
      <w:pPr>
        <w:spacing w:line="360" w:lineRule="auto"/>
        <w:ind w:firstLine="420" w:firstLineChars="200"/>
      </w:pPr>
      <w:r>
        <w:rPr>
          <w:rFonts w:hint="eastAsia"/>
        </w:rPr>
        <w:t>评标委员会按照第三章“评标办法”规定的方法、评审因素、标准和程序对投标文件进行评审。第三章“评标办法”没有规定的方法、评审因素和标准，不作为评标依据。</w:t>
      </w:r>
    </w:p>
    <w:p>
      <w:pPr>
        <w:pStyle w:val="5"/>
        <w:rPr>
          <w:b/>
          <w:szCs w:val="24"/>
        </w:rPr>
      </w:pPr>
      <w:bookmarkStart w:id="381" w:name="_Toc144974534"/>
      <w:bookmarkStart w:id="382" w:name="_Toc296602455"/>
      <w:bookmarkStart w:id="383" w:name="_Toc25328"/>
      <w:bookmarkStart w:id="384" w:name="_Toc14836"/>
      <w:bookmarkStart w:id="385" w:name="_Toc246996210"/>
      <w:bookmarkStart w:id="386" w:name="_Toc152045566"/>
      <w:bookmarkStart w:id="387" w:name="_Toc152042342"/>
      <w:bookmarkStart w:id="388" w:name="_Toc247085724"/>
      <w:bookmarkStart w:id="389" w:name="_Toc7775"/>
      <w:bookmarkStart w:id="390" w:name="_Toc28239"/>
      <w:bookmarkStart w:id="391" w:name="_Toc246996953"/>
      <w:bookmarkStart w:id="392" w:name="_Toc17834"/>
      <w:bookmarkStart w:id="393" w:name="_Toc179632584"/>
      <w:r>
        <w:rPr>
          <w:rFonts w:hint="eastAsia"/>
          <w:b/>
          <w:szCs w:val="24"/>
        </w:rPr>
        <w:t>7. 合同授予</w:t>
      </w:r>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6"/>
        <w:rPr>
          <w:b/>
          <w:szCs w:val="24"/>
        </w:rPr>
      </w:pPr>
      <w:bookmarkStart w:id="394" w:name="_Toc247085725"/>
      <w:bookmarkStart w:id="395" w:name="_Toc296602456"/>
      <w:bookmarkStart w:id="396" w:name="_Toc246996954"/>
      <w:bookmarkStart w:id="397" w:name="_Toc152045567"/>
      <w:bookmarkStart w:id="398" w:name="_Toc144974535"/>
      <w:bookmarkStart w:id="399" w:name="_Toc246996211"/>
      <w:bookmarkStart w:id="400" w:name="_Toc179632585"/>
      <w:bookmarkStart w:id="401" w:name="_Toc152042343"/>
      <w:r>
        <w:rPr>
          <w:rFonts w:hint="eastAsia"/>
          <w:b/>
          <w:szCs w:val="24"/>
        </w:rPr>
        <w:t>7.1 定标方式</w:t>
      </w:r>
      <w:bookmarkEnd w:id="394"/>
      <w:bookmarkEnd w:id="395"/>
      <w:bookmarkEnd w:id="396"/>
      <w:bookmarkEnd w:id="397"/>
      <w:bookmarkEnd w:id="398"/>
      <w:bookmarkEnd w:id="399"/>
      <w:bookmarkEnd w:id="400"/>
      <w:bookmarkEnd w:id="401"/>
    </w:p>
    <w:p>
      <w:pPr>
        <w:spacing w:line="360" w:lineRule="auto"/>
        <w:ind w:firstLine="420" w:firstLineChars="200"/>
      </w:pPr>
      <w:r>
        <w:rPr>
          <w:rFonts w:hint="eastAsia"/>
        </w:rPr>
        <w:t>招标人根据投标单位的报价、商业信誉、业绩、运营方案等，以综合打分形式选择中标人，不承诺最高价中标。如果没有特殊理由，招标人应当确定评审报告推荐的第一中标候选人为中标运营商。</w:t>
      </w:r>
    </w:p>
    <w:p>
      <w:pPr>
        <w:spacing w:line="360" w:lineRule="auto"/>
        <w:ind w:firstLine="420" w:firstLineChars="200"/>
      </w:pPr>
      <w:r>
        <w:rPr>
          <w:rFonts w:hint="eastAsia"/>
        </w:rPr>
        <w:t>排名第一的中标候选人放弃中标、因不可抗力提出不能履行合同的，招标人可以确定排名第二的中标候选人为中标人。</w:t>
      </w:r>
    </w:p>
    <w:p>
      <w:pPr>
        <w:pStyle w:val="6"/>
        <w:rPr>
          <w:b/>
          <w:szCs w:val="24"/>
        </w:rPr>
      </w:pPr>
      <w:bookmarkStart w:id="402" w:name="_Toc296602457"/>
      <w:r>
        <w:rPr>
          <w:rFonts w:hint="eastAsia"/>
          <w:b/>
          <w:szCs w:val="24"/>
        </w:rPr>
        <w:t>7.2 中标候选人公示</w:t>
      </w:r>
      <w:bookmarkEnd w:id="402"/>
    </w:p>
    <w:p>
      <w:pPr>
        <w:spacing w:line="360" w:lineRule="auto"/>
        <w:ind w:firstLine="420" w:firstLineChars="200"/>
      </w:pPr>
      <w:r>
        <w:rPr>
          <w:rFonts w:hint="eastAsia"/>
        </w:rPr>
        <w:t>招标人在投标人须知前附表规定的媒介公示中标候选人。</w:t>
      </w:r>
    </w:p>
    <w:p>
      <w:pPr>
        <w:pStyle w:val="6"/>
        <w:rPr>
          <w:b/>
          <w:szCs w:val="24"/>
        </w:rPr>
      </w:pPr>
      <w:bookmarkStart w:id="403" w:name="_Toc152042344"/>
      <w:bookmarkStart w:id="404" w:name="_Toc296602458"/>
      <w:bookmarkStart w:id="405" w:name="_Toc152045568"/>
      <w:bookmarkStart w:id="406" w:name="_Toc246996955"/>
      <w:bookmarkStart w:id="407" w:name="_Toc246996212"/>
      <w:bookmarkStart w:id="408" w:name="_Toc144974536"/>
      <w:bookmarkStart w:id="409" w:name="_Toc179632586"/>
      <w:bookmarkStart w:id="410" w:name="_Toc247085726"/>
      <w:r>
        <w:rPr>
          <w:rFonts w:hint="eastAsia"/>
          <w:b/>
          <w:szCs w:val="24"/>
        </w:rPr>
        <w:t>7.3 中标通知</w:t>
      </w:r>
      <w:bookmarkEnd w:id="403"/>
      <w:bookmarkEnd w:id="404"/>
      <w:bookmarkEnd w:id="405"/>
      <w:bookmarkEnd w:id="406"/>
      <w:bookmarkEnd w:id="407"/>
      <w:bookmarkEnd w:id="408"/>
      <w:bookmarkEnd w:id="409"/>
      <w:bookmarkEnd w:id="410"/>
    </w:p>
    <w:p>
      <w:pPr>
        <w:spacing w:line="360" w:lineRule="auto"/>
        <w:ind w:firstLine="420" w:firstLineChars="200"/>
      </w:pPr>
      <w:r>
        <w:rPr>
          <w:rFonts w:hint="eastAsia"/>
        </w:rPr>
        <w:t>在本章第3.3款规定的投标有效期内，招标人以书面形式向中标人发出中标通知书，同时将中标结果通知未中标的投标人。</w:t>
      </w:r>
    </w:p>
    <w:p>
      <w:pPr>
        <w:pStyle w:val="6"/>
        <w:rPr>
          <w:b/>
          <w:szCs w:val="24"/>
        </w:rPr>
      </w:pPr>
      <w:bookmarkStart w:id="411" w:name="_Toc152045570"/>
      <w:bookmarkStart w:id="412" w:name="_Toc179632588"/>
      <w:bookmarkStart w:id="413" w:name="_Toc144974538"/>
      <w:bookmarkStart w:id="414" w:name="_Toc296602460"/>
      <w:bookmarkStart w:id="415" w:name="_Toc246996957"/>
      <w:bookmarkStart w:id="416" w:name="_Toc152042346"/>
      <w:bookmarkStart w:id="417" w:name="_Toc246996214"/>
      <w:bookmarkStart w:id="418" w:name="_Toc247085728"/>
      <w:r>
        <w:rPr>
          <w:rFonts w:hint="eastAsia"/>
          <w:b/>
          <w:szCs w:val="24"/>
        </w:rPr>
        <w:t>7.4 签订合同</w:t>
      </w:r>
      <w:bookmarkEnd w:id="411"/>
      <w:bookmarkEnd w:id="412"/>
      <w:bookmarkEnd w:id="413"/>
      <w:bookmarkEnd w:id="414"/>
      <w:bookmarkEnd w:id="415"/>
      <w:bookmarkEnd w:id="416"/>
      <w:bookmarkEnd w:id="417"/>
      <w:bookmarkEnd w:id="418"/>
    </w:p>
    <w:p>
      <w:pPr>
        <w:spacing w:line="360" w:lineRule="auto"/>
        <w:ind w:firstLine="420" w:firstLineChars="200"/>
      </w:pPr>
      <w:r>
        <w:rPr>
          <w:rFonts w:hint="eastAsia"/>
        </w:rPr>
        <w:t>7.4.1招标人和中标人应当自中标通知书发出之日起30天内，根据招标文件和中标人的投标文件订立书面合同。中标人无正当理由拒签合同的，招标人取消其中标资格，其投标保证金不予退还，</w:t>
      </w:r>
      <w:r>
        <w:rPr>
          <w:rFonts w:hint="eastAsia"/>
          <w:bCs/>
        </w:rPr>
        <w:t>由招标代理公司转给招标人享有</w:t>
      </w:r>
      <w:r>
        <w:rPr>
          <w:rFonts w:hint="eastAsia"/>
        </w:rPr>
        <w:t>；给招标人造成的损失超过投标保证金数额的，中标人还应当对超过部分予以赔偿。</w:t>
      </w:r>
    </w:p>
    <w:p>
      <w:pPr>
        <w:spacing w:line="360" w:lineRule="auto"/>
        <w:ind w:firstLine="420" w:firstLineChars="200"/>
      </w:pPr>
      <w:r>
        <w:rPr>
          <w:rFonts w:hint="eastAsia"/>
        </w:rPr>
        <w:t>7.4.2 发出中标通知书后，招标人无正当理由拒签合同的，招标人向中标人退还投标保证金；给中标人造成损失的，还应当赔偿损失。</w:t>
      </w:r>
    </w:p>
    <w:p>
      <w:pPr>
        <w:pStyle w:val="5"/>
        <w:rPr>
          <w:b/>
          <w:szCs w:val="24"/>
        </w:rPr>
      </w:pPr>
      <w:bookmarkStart w:id="419" w:name="_Toc10701"/>
      <w:bookmarkStart w:id="420" w:name="_Toc11622"/>
      <w:bookmarkStart w:id="421" w:name="_Toc296602461"/>
      <w:bookmarkStart w:id="422" w:name="_Toc13414"/>
      <w:bookmarkStart w:id="423" w:name="_Toc19704"/>
      <w:bookmarkStart w:id="424" w:name="_Toc14654"/>
      <w:r>
        <w:rPr>
          <w:rFonts w:hint="eastAsia"/>
          <w:b/>
          <w:szCs w:val="24"/>
        </w:rPr>
        <w:t>8. 纪律和监督</w:t>
      </w:r>
      <w:bookmarkEnd w:id="419"/>
      <w:bookmarkEnd w:id="420"/>
      <w:bookmarkEnd w:id="421"/>
      <w:bookmarkEnd w:id="422"/>
      <w:bookmarkEnd w:id="423"/>
      <w:bookmarkEnd w:id="424"/>
    </w:p>
    <w:p>
      <w:pPr>
        <w:pStyle w:val="6"/>
        <w:rPr>
          <w:b/>
          <w:szCs w:val="24"/>
        </w:rPr>
      </w:pPr>
      <w:bookmarkStart w:id="425" w:name="_Toc152042351"/>
      <w:bookmarkStart w:id="426" w:name="_Toc246996962"/>
      <w:bookmarkStart w:id="427" w:name="_Toc296602462"/>
      <w:bookmarkStart w:id="428" w:name="_Toc296590983"/>
      <w:bookmarkStart w:id="429" w:name="_Toc144974543"/>
      <w:bookmarkStart w:id="430" w:name="_Toc246996219"/>
      <w:bookmarkStart w:id="431" w:name="_Toc152045575"/>
      <w:bookmarkStart w:id="432" w:name="_Toc247085733"/>
      <w:bookmarkStart w:id="433" w:name="_Toc179632593"/>
      <w:r>
        <w:rPr>
          <w:rFonts w:hint="eastAsia"/>
          <w:b/>
          <w:szCs w:val="24"/>
        </w:rPr>
        <w:t>8.1 对招标人的纪律要求</w:t>
      </w:r>
      <w:bookmarkEnd w:id="425"/>
      <w:bookmarkEnd w:id="426"/>
      <w:bookmarkEnd w:id="427"/>
      <w:bookmarkEnd w:id="428"/>
      <w:bookmarkEnd w:id="429"/>
      <w:bookmarkEnd w:id="430"/>
      <w:bookmarkEnd w:id="431"/>
      <w:bookmarkEnd w:id="432"/>
      <w:bookmarkEnd w:id="433"/>
    </w:p>
    <w:p>
      <w:pPr>
        <w:spacing w:line="360" w:lineRule="auto"/>
        <w:ind w:firstLine="420" w:firstLineChars="200"/>
      </w:pPr>
      <w:r>
        <w:rPr>
          <w:rFonts w:hint="eastAsia"/>
        </w:rPr>
        <w:t>招标人不得泄漏招标投标活动中应当保密的情况和资料，不得与投标人串通损害国家利益、社会公共利益或者他人合法权益。</w:t>
      </w:r>
    </w:p>
    <w:p>
      <w:pPr>
        <w:pStyle w:val="6"/>
        <w:rPr>
          <w:b/>
          <w:szCs w:val="24"/>
        </w:rPr>
      </w:pPr>
      <w:bookmarkStart w:id="434" w:name="_Toc179632594"/>
      <w:bookmarkStart w:id="435" w:name="_Toc296602463"/>
      <w:bookmarkStart w:id="436" w:name="_Toc246996220"/>
      <w:bookmarkStart w:id="437" w:name="_Toc144974544"/>
      <w:bookmarkStart w:id="438" w:name="_Toc246996963"/>
      <w:bookmarkStart w:id="439" w:name="_Toc152042352"/>
      <w:bookmarkStart w:id="440" w:name="_Toc152045576"/>
      <w:bookmarkStart w:id="441" w:name="_Toc247085734"/>
      <w:r>
        <w:rPr>
          <w:rFonts w:hint="eastAsia"/>
          <w:b/>
          <w:szCs w:val="24"/>
        </w:rPr>
        <w:t>8.2 对投标人的纪律要求</w:t>
      </w:r>
      <w:bookmarkEnd w:id="434"/>
      <w:bookmarkEnd w:id="435"/>
      <w:bookmarkEnd w:id="436"/>
      <w:bookmarkEnd w:id="437"/>
      <w:bookmarkEnd w:id="438"/>
      <w:bookmarkEnd w:id="439"/>
      <w:bookmarkEnd w:id="440"/>
      <w:bookmarkEnd w:id="441"/>
    </w:p>
    <w:p>
      <w:pPr>
        <w:spacing w:line="360" w:lineRule="auto"/>
        <w:ind w:firstLine="420" w:firstLineChars="200"/>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rPr>
          <w:b/>
          <w:szCs w:val="24"/>
        </w:rPr>
      </w:pPr>
      <w:bookmarkStart w:id="442" w:name="_Toc247085735"/>
      <w:bookmarkStart w:id="443" w:name="_Toc246996964"/>
      <w:bookmarkStart w:id="444" w:name="_Toc296602464"/>
      <w:bookmarkStart w:id="445" w:name="_Toc246996221"/>
      <w:bookmarkStart w:id="446" w:name="_Toc152042353"/>
      <w:bookmarkStart w:id="447" w:name="_Toc179632595"/>
      <w:bookmarkStart w:id="448" w:name="_Toc144974545"/>
      <w:bookmarkStart w:id="449" w:name="_Toc152045577"/>
      <w:r>
        <w:rPr>
          <w:rFonts w:hint="eastAsia"/>
          <w:b/>
          <w:szCs w:val="24"/>
        </w:rPr>
        <w:t>8.3 对评标委员会成员的纪律要求</w:t>
      </w:r>
      <w:bookmarkEnd w:id="442"/>
      <w:bookmarkEnd w:id="443"/>
      <w:bookmarkEnd w:id="444"/>
      <w:bookmarkEnd w:id="445"/>
      <w:bookmarkEnd w:id="446"/>
      <w:bookmarkEnd w:id="447"/>
      <w:bookmarkEnd w:id="448"/>
      <w:bookmarkEnd w:id="449"/>
    </w:p>
    <w:p>
      <w:pPr>
        <w:spacing w:line="360" w:lineRule="auto"/>
        <w:ind w:firstLine="420" w:firstLineChars="200"/>
      </w:pPr>
      <w:r>
        <w:rPr>
          <w:rFonts w:hint="eastAsia"/>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rPr>
          <w:b/>
          <w:szCs w:val="24"/>
        </w:rPr>
      </w:pPr>
      <w:bookmarkStart w:id="450" w:name="_Toc152045578"/>
      <w:bookmarkStart w:id="451" w:name="_Toc152042354"/>
      <w:bookmarkStart w:id="452" w:name="_Toc247085736"/>
      <w:bookmarkStart w:id="453" w:name="_Toc296602465"/>
      <w:bookmarkStart w:id="454" w:name="_Toc246996222"/>
      <w:bookmarkStart w:id="455" w:name="_Toc246996965"/>
      <w:bookmarkStart w:id="456" w:name="_Toc179632596"/>
      <w:bookmarkStart w:id="457" w:name="_Toc144974546"/>
      <w:r>
        <w:rPr>
          <w:rFonts w:hint="eastAsia"/>
          <w:b/>
          <w:szCs w:val="24"/>
        </w:rPr>
        <w:t>8.4 对与评标活动有关的工作人员的纪律要求</w:t>
      </w:r>
      <w:bookmarkEnd w:id="450"/>
      <w:bookmarkEnd w:id="451"/>
      <w:bookmarkEnd w:id="452"/>
      <w:bookmarkEnd w:id="453"/>
      <w:bookmarkEnd w:id="454"/>
      <w:bookmarkEnd w:id="455"/>
      <w:bookmarkEnd w:id="456"/>
    </w:p>
    <w:p>
      <w:pPr>
        <w:spacing w:line="360" w:lineRule="auto"/>
        <w:ind w:firstLine="420" w:firstLineChars="200"/>
      </w:pPr>
      <w:bookmarkStart w:id="458" w:name="_Toc152042355"/>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58"/>
    </w:p>
    <w:p>
      <w:pPr>
        <w:pStyle w:val="6"/>
        <w:rPr>
          <w:b/>
          <w:szCs w:val="24"/>
        </w:rPr>
      </w:pPr>
      <w:bookmarkStart w:id="459" w:name="_Toc247085737"/>
      <w:bookmarkStart w:id="460" w:name="_Toc152042356"/>
      <w:bookmarkStart w:id="461" w:name="_Toc246996966"/>
      <w:bookmarkStart w:id="462" w:name="_Toc246996223"/>
      <w:bookmarkStart w:id="463" w:name="_Toc179632597"/>
      <w:bookmarkStart w:id="464" w:name="_Toc296602466"/>
      <w:bookmarkStart w:id="465" w:name="_Toc152045579"/>
      <w:r>
        <w:rPr>
          <w:rFonts w:hint="eastAsia"/>
          <w:b/>
          <w:szCs w:val="24"/>
        </w:rPr>
        <w:t>8.5 投诉</w:t>
      </w:r>
      <w:bookmarkEnd w:id="457"/>
      <w:bookmarkEnd w:id="459"/>
      <w:bookmarkEnd w:id="460"/>
      <w:bookmarkEnd w:id="461"/>
      <w:bookmarkEnd w:id="462"/>
      <w:bookmarkEnd w:id="463"/>
      <w:bookmarkEnd w:id="464"/>
      <w:bookmarkEnd w:id="465"/>
    </w:p>
    <w:p>
      <w:pPr>
        <w:spacing w:line="360" w:lineRule="auto"/>
        <w:ind w:firstLine="420" w:firstLineChars="200"/>
      </w:pPr>
      <w:r>
        <w:rPr>
          <w:rFonts w:hint="eastAsia"/>
        </w:rPr>
        <w:t>投标人和其他利害关系人认为本次招标活动违反法律、法规和规章规定的，有权向有关行政监督部门投诉。</w:t>
      </w:r>
    </w:p>
    <w:p>
      <w:pPr>
        <w:pStyle w:val="5"/>
        <w:rPr>
          <w:b/>
          <w:szCs w:val="24"/>
        </w:rPr>
      </w:pPr>
      <w:bookmarkStart w:id="466" w:name="_Toc1709"/>
      <w:bookmarkStart w:id="467" w:name="_Toc19358"/>
      <w:bookmarkStart w:id="468" w:name="_Toc246996967"/>
      <w:bookmarkStart w:id="469" w:name="_Toc247085738"/>
      <w:bookmarkStart w:id="470" w:name="_Toc246996224"/>
      <w:bookmarkStart w:id="471" w:name="_Toc152045580"/>
      <w:bookmarkStart w:id="472" w:name="_Toc25428"/>
      <w:bookmarkStart w:id="473" w:name="_Toc179632598"/>
      <w:bookmarkStart w:id="474" w:name="_Toc31604"/>
      <w:bookmarkStart w:id="475" w:name="_Toc144974547"/>
      <w:bookmarkStart w:id="476" w:name="_Toc152042357"/>
      <w:bookmarkStart w:id="477" w:name="_Toc296602467"/>
      <w:bookmarkStart w:id="478" w:name="_Toc4546"/>
      <w:r>
        <w:rPr>
          <w:rFonts w:hint="eastAsia"/>
          <w:b/>
          <w:szCs w:val="24"/>
        </w:rPr>
        <w:t>9. 其他内容</w:t>
      </w:r>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6"/>
        <w:rPr>
          <w:b/>
          <w:szCs w:val="24"/>
        </w:rPr>
      </w:pPr>
      <w:r>
        <w:rPr>
          <w:rFonts w:hint="eastAsia"/>
          <w:b/>
          <w:szCs w:val="24"/>
        </w:rPr>
        <w:t>9.1中标服务费</w:t>
      </w:r>
    </w:p>
    <w:p>
      <w:pPr>
        <w:spacing w:line="360" w:lineRule="auto"/>
        <w:ind w:firstLine="420" w:firstLineChars="200"/>
      </w:pPr>
      <w:r>
        <w:rPr>
          <w:rFonts w:hint="eastAsia"/>
        </w:rPr>
        <w:t>确定中标人后，2日内由中标人向物流招标平台缴纳中标总价（12年租金）1‰的电子投标服务费（中标人承担）。</w:t>
      </w:r>
    </w:p>
    <w:p>
      <w:pPr>
        <w:pStyle w:val="6"/>
        <w:rPr>
          <w:b/>
          <w:szCs w:val="24"/>
        </w:rPr>
      </w:pPr>
      <w:r>
        <w:rPr>
          <w:rFonts w:hint="eastAsia"/>
          <w:b/>
          <w:szCs w:val="24"/>
        </w:rPr>
        <w:t>9.2需要补充的其他内容</w:t>
      </w:r>
    </w:p>
    <w:p>
      <w:pPr>
        <w:spacing w:line="360" w:lineRule="auto"/>
        <w:ind w:firstLine="420" w:firstLineChars="200"/>
      </w:pPr>
      <w:r>
        <w:rPr>
          <w:rFonts w:hint="eastAsia"/>
        </w:rPr>
        <w:t>需要补充的其他内容详见投标人须知前附表。</w:t>
      </w:r>
      <w:bookmarkStart w:id="479" w:name="_Toc247085756"/>
      <w:bookmarkStart w:id="480" w:name="_Toc13932_WPSOffice_Level1"/>
      <w:bookmarkStart w:id="481" w:name="_Toc7761"/>
      <w:bookmarkStart w:id="482" w:name="_Toc24183"/>
      <w:bookmarkStart w:id="483" w:name="_Toc179632616"/>
      <w:bookmarkStart w:id="484" w:name="_Toc246996241"/>
      <w:bookmarkStart w:id="485" w:name="_Toc20520_WPSOffice_Level1"/>
      <w:bookmarkStart w:id="486" w:name="_Toc152045598"/>
      <w:bookmarkStart w:id="487" w:name="_Toc14871"/>
      <w:bookmarkStart w:id="488" w:name="_Toc144974565"/>
      <w:bookmarkStart w:id="489" w:name="_Toc152042375"/>
      <w:bookmarkStart w:id="490" w:name="_Toc246996984"/>
    </w:p>
    <w:p>
      <w:r>
        <w:rPr>
          <w:rFonts w:hint="eastAsia"/>
        </w:rPr>
        <w:br w:type="page"/>
      </w:r>
    </w:p>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4"/>
        <w:jc w:val="center"/>
      </w:pPr>
      <w:bookmarkStart w:id="491" w:name="_Toc22055"/>
      <w:bookmarkStart w:id="492" w:name="_Toc715"/>
      <w:bookmarkStart w:id="493" w:name="_Toc19401"/>
      <w:bookmarkStart w:id="494" w:name="_Toc26335"/>
      <w:bookmarkStart w:id="495" w:name="_Toc32351"/>
      <w:r>
        <w:rPr>
          <w:rFonts w:hint="eastAsia"/>
        </w:rPr>
        <w:t>第三章评标办法</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
        <w:rPr>
          <w:rFonts w:hint="eastAsia"/>
        </w:rPr>
        <w:br w:type="page"/>
      </w:r>
    </w:p>
    <w:p>
      <w:pPr>
        <w:pStyle w:val="5"/>
        <w:jc w:val="center"/>
      </w:pPr>
      <w:bookmarkStart w:id="496" w:name="_Toc30043"/>
      <w:bookmarkStart w:id="497" w:name="_Toc22031"/>
      <w:bookmarkStart w:id="498" w:name="_Toc20459"/>
      <w:bookmarkStart w:id="499" w:name="_Toc317"/>
      <w:bookmarkStart w:id="500" w:name="_Toc30523"/>
      <w:bookmarkStart w:id="501" w:name="_Toc11266"/>
      <w:bookmarkStart w:id="502" w:name="_Toc26122"/>
      <w:r>
        <w:rPr>
          <w:rFonts w:hint="eastAsia"/>
        </w:rPr>
        <w:t>评标办法前附表</w:t>
      </w:r>
      <w:bookmarkEnd w:id="496"/>
      <w:bookmarkEnd w:id="497"/>
      <w:bookmarkEnd w:id="498"/>
      <w:bookmarkEnd w:id="499"/>
      <w:bookmarkEnd w:id="500"/>
      <w:bookmarkEnd w:id="501"/>
      <w:bookmarkEnd w:id="502"/>
    </w:p>
    <w:tbl>
      <w:tblPr>
        <w:tblStyle w:val="19"/>
        <w:tblW w:w="88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340"/>
        <w:gridCol w:w="1667"/>
        <w:gridCol w:w="49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240" w:type="dxa"/>
            <w:gridSpan w:val="2"/>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条款号</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评审因素</w:t>
            </w:r>
          </w:p>
        </w:tc>
        <w:tc>
          <w:tcPr>
            <w:tcW w:w="49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tcBorders>
              <w:top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2.1.1</w:t>
            </w:r>
          </w:p>
        </w:tc>
        <w:tc>
          <w:tcPr>
            <w:tcW w:w="1340" w:type="dxa"/>
            <w:tcBorders>
              <w:top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资格评审标准</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资格审查内容</w:t>
            </w:r>
          </w:p>
        </w:tc>
        <w:tc>
          <w:tcPr>
            <w:tcW w:w="491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符合第一章“四、招标文件发售及资格审查”内容要求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restart"/>
            <w:tcBorders>
              <w:top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2.1.3</w:t>
            </w:r>
          </w:p>
        </w:tc>
        <w:tc>
          <w:tcPr>
            <w:tcW w:w="1340" w:type="dxa"/>
            <w:vMerge w:val="restart"/>
            <w:tcBorders>
              <w:top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响应性</w:t>
            </w:r>
          </w:p>
          <w:p>
            <w:pPr>
              <w:jc w:val="center"/>
              <w:rPr>
                <w:rFonts w:asciiTheme="minorEastAsia" w:hAnsiTheme="minorEastAsia" w:cstheme="minorEastAsia"/>
                <w:szCs w:val="21"/>
              </w:rPr>
            </w:pPr>
            <w:r>
              <w:rPr>
                <w:rFonts w:hint="eastAsia" w:asciiTheme="minorEastAsia" w:hAnsiTheme="minorEastAsia" w:cstheme="minorEastAsia"/>
                <w:szCs w:val="21"/>
              </w:rPr>
              <w:t>评审</w:t>
            </w:r>
          </w:p>
          <w:p>
            <w:pPr>
              <w:jc w:val="center"/>
              <w:rPr>
                <w:rFonts w:asciiTheme="minorEastAsia" w:hAnsiTheme="minorEastAsia" w:cstheme="minorEastAsia"/>
                <w:szCs w:val="21"/>
              </w:rPr>
            </w:pPr>
            <w:r>
              <w:rPr>
                <w:rFonts w:hint="eastAsia" w:asciiTheme="minorEastAsia" w:hAnsiTheme="minorEastAsia" w:cstheme="minorEastAsia"/>
                <w:szCs w:val="21"/>
              </w:rPr>
              <w:t>标准</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投标报价</w:t>
            </w:r>
          </w:p>
        </w:tc>
        <w:tc>
          <w:tcPr>
            <w:tcW w:w="491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符合第二章“投标人须知”第3.2.3项规定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6" w:hRule="atLeast"/>
          <w:jc w:val="center"/>
        </w:trPr>
        <w:tc>
          <w:tcPr>
            <w:tcW w:w="900" w:type="dxa"/>
            <w:vMerge w:val="continue"/>
            <w:tcBorders>
              <w:right w:val="single" w:color="auto" w:sz="4" w:space="0"/>
            </w:tcBorders>
            <w:vAlign w:val="center"/>
          </w:tcPr>
          <w:p>
            <w:pPr>
              <w:jc w:val="center"/>
              <w:rPr>
                <w:rFonts w:asciiTheme="minorEastAsia" w:hAnsiTheme="minorEastAsia" w:cstheme="minorEastAsia"/>
                <w:szCs w:val="21"/>
              </w:rPr>
            </w:pPr>
          </w:p>
        </w:tc>
        <w:tc>
          <w:tcPr>
            <w:tcW w:w="1340" w:type="dxa"/>
            <w:vMerge w:val="continue"/>
            <w:tcBorders>
              <w:right w:val="single" w:color="auto" w:sz="4" w:space="0"/>
            </w:tcBorders>
            <w:vAlign w:val="center"/>
          </w:tcPr>
          <w:p>
            <w:pPr>
              <w:jc w:val="center"/>
              <w:rPr>
                <w:rFonts w:asciiTheme="minorEastAsia" w:hAnsiTheme="minorEastAsia" w:cstheme="minorEastAsia"/>
                <w:szCs w:val="21"/>
              </w:rPr>
            </w:pPr>
          </w:p>
        </w:tc>
        <w:tc>
          <w:tcPr>
            <w:tcW w:w="1667" w:type="dxa"/>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投标文件内容</w:t>
            </w:r>
          </w:p>
        </w:tc>
        <w:tc>
          <w:tcPr>
            <w:tcW w:w="4913" w:type="dxa"/>
            <w:tcBorders>
              <w:top w:val="single" w:color="auto" w:sz="4" w:space="0"/>
              <w:left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符合第二章“投标人须知”第3.6.2项规定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right w:val="single" w:color="auto" w:sz="4" w:space="0"/>
            </w:tcBorders>
            <w:vAlign w:val="center"/>
          </w:tcPr>
          <w:p>
            <w:pPr>
              <w:jc w:val="center"/>
              <w:rPr>
                <w:rFonts w:asciiTheme="minorEastAsia" w:hAnsiTheme="minorEastAsia" w:cstheme="minorEastAsia"/>
                <w:szCs w:val="21"/>
              </w:rPr>
            </w:pPr>
          </w:p>
        </w:tc>
        <w:tc>
          <w:tcPr>
            <w:tcW w:w="1340" w:type="dxa"/>
            <w:vMerge w:val="continue"/>
            <w:tcBorders>
              <w:right w:val="single" w:color="auto" w:sz="4" w:space="0"/>
            </w:tcBorders>
            <w:vAlign w:val="center"/>
          </w:tcPr>
          <w:p>
            <w:pPr>
              <w:jc w:val="center"/>
              <w:rPr>
                <w:rFonts w:asciiTheme="minorEastAsia" w:hAnsiTheme="minorEastAsia" w:cstheme="minorEastAsia"/>
                <w:szCs w:val="21"/>
              </w:rPr>
            </w:pP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投标有效期</w:t>
            </w:r>
          </w:p>
        </w:tc>
        <w:tc>
          <w:tcPr>
            <w:tcW w:w="491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right w:val="single" w:color="auto" w:sz="4" w:space="0"/>
            </w:tcBorders>
            <w:vAlign w:val="center"/>
          </w:tcPr>
          <w:p>
            <w:pPr>
              <w:jc w:val="center"/>
              <w:rPr>
                <w:rFonts w:asciiTheme="minorEastAsia" w:hAnsiTheme="minorEastAsia" w:cstheme="minorEastAsia"/>
                <w:szCs w:val="21"/>
              </w:rPr>
            </w:pPr>
          </w:p>
        </w:tc>
        <w:tc>
          <w:tcPr>
            <w:tcW w:w="1340" w:type="dxa"/>
            <w:vMerge w:val="continue"/>
            <w:tcBorders>
              <w:right w:val="single" w:color="auto" w:sz="4" w:space="0"/>
            </w:tcBorders>
            <w:vAlign w:val="center"/>
          </w:tcPr>
          <w:p>
            <w:pPr>
              <w:jc w:val="center"/>
              <w:rPr>
                <w:rFonts w:asciiTheme="minorEastAsia" w:hAnsiTheme="minorEastAsia" w:cstheme="minorEastAsia"/>
                <w:szCs w:val="21"/>
              </w:rPr>
            </w:pP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投标保证金</w:t>
            </w:r>
          </w:p>
        </w:tc>
        <w:tc>
          <w:tcPr>
            <w:tcW w:w="491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0" w:type="dxa"/>
            <w:gridSpan w:val="2"/>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条款号</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条款内容</w:t>
            </w:r>
          </w:p>
        </w:tc>
        <w:tc>
          <w:tcPr>
            <w:tcW w:w="49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0" w:type="dxa"/>
            <w:gridSpan w:val="2"/>
            <w:tcBorders>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2.2.1</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分值构成</w:t>
            </w:r>
          </w:p>
          <w:p>
            <w:pPr>
              <w:jc w:val="center"/>
              <w:rPr>
                <w:rFonts w:asciiTheme="minorEastAsia" w:hAnsiTheme="minorEastAsia" w:cstheme="minorEastAsia"/>
                <w:szCs w:val="21"/>
              </w:rPr>
            </w:pPr>
            <w:r>
              <w:rPr>
                <w:rFonts w:hint="eastAsia" w:asciiTheme="minorEastAsia" w:hAnsiTheme="minorEastAsia" w:cstheme="minorEastAsia"/>
                <w:szCs w:val="21"/>
              </w:rPr>
              <w:t>（总分100分）</w:t>
            </w:r>
          </w:p>
        </w:tc>
        <w:tc>
          <w:tcPr>
            <w:tcW w:w="491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商务评审：</w:t>
            </w:r>
            <w:r>
              <w:rPr>
                <w:rFonts w:hint="eastAsia" w:asciiTheme="minorEastAsia" w:hAnsiTheme="minorEastAsia" w:cstheme="minorEastAsia"/>
                <w:szCs w:val="21"/>
                <w:u w:val="single"/>
              </w:rPr>
              <w:t xml:space="preserve"> 20 </w:t>
            </w:r>
            <w:r>
              <w:rPr>
                <w:rFonts w:hint="eastAsia" w:asciiTheme="minorEastAsia" w:hAnsiTheme="minorEastAsia" w:cstheme="minorEastAsia"/>
                <w:szCs w:val="21"/>
              </w:rPr>
              <w:t>分</w:t>
            </w:r>
          </w:p>
          <w:p>
            <w:pPr>
              <w:rPr>
                <w:rFonts w:asciiTheme="minorEastAsia" w:hAnsiTheme="minorEastAsia" w:cstheme="minorEastAsia"/>
                <w:szCs w:val="21"/>
              </w:rPr>
            </w:pPr>
            <w:r>
              <w:rPr>
                <w:rFonts w:hint="eastAsia" w:asciiTheme="minorEastAsia" w:hAnsiTheme="minorEastAsia" w:cstheme="minorEastAsia"/>
                <w:szCs w:val="21"/>
              </w:rPr>
              <w:t>技术评审：</w:t>
            </w:r>
            <w:r>
              <w:rPr>
                <w:rFonts w:hint="eastAsia" w:asciiTheme="minorEastAsia" w:hAnsiTheme="minorEastAsia" w:cstheme="minorEastAsia"/>
                <w:szCs w:val="21"/>
                <w:u w:val="single"/>
              </w:rPr>
              <w:t xml:space="preserve"> 30 </w:t>
            </w:r>
            <w:r>
              <w:rPr>
                <w:rFonts w:hint="eastAsia" w:asciiTheme="minorEastAsia" w:hAnsiTheme="minorEastAsia" w:cstheme="minorEastAsia"/>
                <w:szCs w:val="21"/>
              </w:rPr>
              <w:t>分</w:t>
            </w:r>
          </w:p>
          <w:p>
            <w:pPr>
              <w:rPr>
                <w:rFonts w:asciiTheme="minorEastAsia" w:hAnsiTheme="minorEastAsia" w:cstheme="minorEastAsia"/>
                <w:szCs w:val="21"/>
              </w:rPr>
            </w:pPr>
            <w:r>
              <w:rPr>
                <w:rFonts w:hint="eastAsia" w:asciiTheme="minorEastAsia" w:hAnsiTheme="minorEastAsia" w:cstheme="minorEastAsia"/>
                <w:szCs w:val="21"/>
              </w:rPr>
              <w:t>投标报价：</w:t>
            </w:r>
            <w:r>
              <w:rPr>
                <w:rFonts w:hint="eastAsia" w:asciiTheme="minorEastAsia" w:hAnsiTheme="minorEastAsia" w:cstheme="minorEastAsia"/>
                <w:szCs w:val="21"/>
                <w:u w:val="single"/>
              </w:rPr>
              <w:t xml:space="preserve"> 50 </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0" w:type="dxa"/>
            <w:gridSpan w:val="2"/>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2.2.2</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评标基准价</w:t>
            </w:r>
          </w:p>
        </w:tc>
        <w:tc>
          <w:tcPr>
            <w:tcW w:w="4913"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Theme="minorEastAsia" w:hAnsiTheme="minorEastAsia" w:cstheme="minorEastAsia"/>
                <w:szCs w:val="21"/>
              </w:rPr>
            </w:pPr>
            <w:r>
              <w:rPr>
                <w:rFonts w:hint="eastAsia" w:asciiTheme="minorEastAsia" w:hAnsiTheme="minorEastAsia" w:cstheme="minorEastAsia"/>
                <w:szCs w:val="21"/>
              </w:rPr>
              <w:t>投标人最高报价即为本次评标基准价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0" w:type="dxa"/>
            <w:gridSpan w:val="2"/>
            <w:tcBorders>
              <w:top w:val="nil"/>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b/>
                <w:szCs w:val="21"/>
              </w:rPr>
              <w:t>条款号</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评分因素</w:t>
            </w:r>
          </w:p>
        </w:tc>
        <w:tc>
          <w:tcPr>
            <w:tcW w:w="49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5" w:hRule="atLeast"/>
          <w:jc w:val="center"/>
        </w:trPr>
        <w:tc>
          <w:tcPr>
            <w:tcW w:w="900" w:type="dxa"/>
            <w:vMerge w:val="restart"/>
            <w:tcBorders>
              <w:top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2.2.3（1）</w:t>
            </w:r>
          </w:p>
        </w:tc>
        <w:tc>
          <w:tcPr>
            <w:tcW w:w="1340" w:type="dxa"/>
            <w:vMerge w:val="restart"/>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商务评审</w:t>
            </w:r>
          </w:p>
          <w:p>
            <w:pPr>
              <w:jc w:val="center"/>
              <w:rPr>
                <w:rFonts w:asciiTheme="minorEastAsia" w:hAnsiTheme="minorEastAsia" w:cstheme="minorEastAsia"/>
                <w:szCs w:val="21"/>
              </w:rPr>
            </w:pPr>
            <w:r>
              <w:rPr>
                <w:rFonts w:hint="eastAsia" w:asciiTheme="minorEastAsia" w:hAnsiTheme="minorEastAsia" w:cstheme="minorEastAsia"/>
                <w:szCs w:val="21"/>
              </w:rPr>
              <w:t>评分标准</w:t>
            </w:r>
          </w:p>
          <w:p>
            <w:pPr>
              <w:jc w:val="center"/>
              <w:rPr>
                <w:rFonts w:asciiTheme="minorEastAsia" w:hAnsiTheme="minorEastAsia" w:cstheme="minorEastAsia"/>
                <w:szCs w:val="21"/>
              </w:rPr>
            </w:pPr>
            <w:r>
              <w:rPr>
                <w:rFonts w:hint="eastAsia" w:asciiTheme="minorEastAsia" w:hAnsiTheme="minorEastAsia" w:cstheme="minorEastAsia"/>
                <w:szCs w:val="21"/>
              </w:rPr>
              <w:t>（20分）</w:t>
            </w:r>
          </w:p>
        </w:tc>
        <w:tc>
          <w:tcPr>
            <w:tcW w:w="1667" w:type="dxa"/>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szCs w:val="21"/>
                <w:highlight w:val="yellow"/>
              </w:rPr>
            </w:pPr>
            <w:r>
              <w:rPr>
                <w:rFonts w:hint="eastAsia" w:asciiTheme="minorEastAsia" w:hAnsiTheme="minorEastAsia" w:cstheme="minorEastAsia"/>
                <w:szCs w:val="21"/>
              </w:rPr>
              <w:t>注册资本（3分）</w:t>
            </w:r>
          </w:p>
        </w:tc>
        <w:tc>
          <w:tcPr>
            <w:tcW w:w="4913" w:type="dxa"/>
            <w:tcBorders>
              <w:top w:val="single" w:color="auto" w:sz="4" w:space="0"/>
              <w:left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highlight w:val="yellow"/>
              </w:rPr>
            </w:pPr>
            <w:r>
              <w:rPr>
                <w:rFonts w:hint="eastAsia" w:ascii="宋体" w:hAnsi="宋体" w:cs="宋体"/>
                <w:kern w:val="0"/>
                <w:szCs w:val="21"/>
              </w:rPr>
              <w:t>注册资本金不低于500万元，满足要求1分，注册资本金每增加100万元加</w:t>
            </w:r>
            <w:r>
              <w:rPr>
                <w:rFonts w:hint="eastAsia" w:ascii="宋体" w:hAnsi="宋体"/>
                <w:szCs w:val="21"/>
              </w:rPr>
              <w:t>（1分），最高3分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2" w:hRule="atLeast"/>
          <w:jc w:val="center"/>
        </w:trPr>
        <w:tc>
          <w:tcPr>
            <w:tcW w:w="900" w:type="dxa"/>
            <w:vMerge w:val="continue"/>
            <w:tcBorders>
              <w:right w:val="single" w:color="auto" w:sz="4" w:space="0"/>
            </w:tcBorders>
            <w:vAlign w:val="center"/>
          </w:tcPr>
          <w:p>
            <w:pPr>
              <w:jc w:val="center"/>
              <w:rPr>
                <w:rFonts w:asciiTheme="minorEastAsia" w:hAnsiTheme="minorEastAsia" w:cstheme="minorEastAsia"/>
                <w:szCs w:val="21"/>
              </w:rPr>
            </w:pPr>
          </w:p>
        </w:tc>
        <w:tc>
          <w:tcPr>
            <w:tcW w:w="1340" w:type="dxa"/>
            <w:vMerge w:val="continue"/>
            <w:tcBorders>
              <w:right w:val="single" w:color="auto" w:sz="4" w:space="0"/>
            </w:tcBorders>
            <w:vAlign w:val="center"/>
          </w:tcPr>
          <w:p>
            <w:pPr>
              <w:jc w:val="center"/>
              <w:rPr>
                <w:rFonts w:asciiTheme="minorEastAsia" w:hAnsiTheme="minorEastAsia" w:cstheme="minorEastAsia"/>
                <w:szCs w:val="21"/>
              </w:rPr>
            </w:pPr>
          </w:p>
        </w:tc>
        <w:tc>
          <w:tcPr>
            <w:tcW w:w="1667" w:type="dxa"/>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企业信誉</w:t>
            </w:r>
          </w:p>
          <w:p>
            <w:pPr>
              <w:jc w:val="center"/>
              <w:rPr>
                <w:rFonts w:asciiTheme="minorEastAsia" w:hAnsiTheme="minorEastAsia" w:cstheme="minorEastAsia"/>
                <w:szCs w:val="21"/>
              </w:rPr>
            </w:pPr>
            <w:r>
              <w:rPr>
                <w:rFonts w:hint="eastAsia" w:asciiTheme="minorEastAsia" w:hAnsiTheme="minorEastAsia" w:cstheme="minorEastAsia"/>
                <w:szCs w:val="21"/>
              </w:rPr>
              <w:t>（5分）</w:t>
            </w:r>
          </w:p>
        </w:tc>
        <w:tc>
          <w:tcPr>
            <w:tcW w:w="4913" w:type="dxa"/>
            <w:tcBorders>
              <w:top w:val="single" w:color="auto" w:sz="4" w:space="0"/>
              <w:left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申请人及其控股股东、公司高级管理人员最近三年内无重大违法违规行为且无重大未决诉讼事项（需申请人自行承诺，格式自拟）（2分）</w:t>
            </w:r>
          </w:p>
          <w:p>
            <w:pPr>
              <w:jc w:val="left"/>
              <w:rPr>
                <w:rFonts w:ascii="宋体" w:hAnsi="宋体" w:cs="宋体"/>
                <w:kern w:val="0"/>
                <w:szCs w:val="21"/>
              </w:rPr>
            </w:pPr>
            <w:r>
              <w:rPr>
                <w:rFonts w:hint="eastAsia" w:ascii="宋体" w:hAnsi="宋体" w:cs="宋体"/>
                <w:kern w:val="0"/>
                <w:szCs w:val="21"/>
              </w:rPr>
              <w:t>提供投标截止日前 20 日内的无行贿受贿记录，附“中国裁判文网”（http://wenshu.court.gov.cn/）查询：投标单位、法定代表人无行贿犯罪档案的记录查询结果截图加盖公章（3分）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3" w:hRule="atLeast"/>
          <w:jc w:val="center"/>
        </w:trPr>
        <w:tc>
          <w:tcPr>
            <w:tcW w:w="900" w:type="dxa"/>
            <w:vMerge w:val="continue"/>
            <w:tcBorders>
              <w:right w:val="single" w:color="auto" w:sz="4" w:space="0"/>
            </w:tcBorders>
            <w:vAlign w:val="center"/>
          </w:tcPr>
          <w:p>
            <w:pPr>
              <w:jc w:val="center"/>
              <w:rPr>
                <w:rFonts w:asciiTheme="minorEastAsia" w:hAnsiTheme="minorEastAsia" w:cstheme="minorEastAsia"/>
                <w:szCs w:val="21"/>
              </w:rPr>
            </w:pPr>
          </w:p>
        </w:tc>
        <w:tc>
          <w:tcPr>
            <w:tcW w:w="1340" w:type="dxa"/>
            <w:vMerge w:val="continue"/>
            <w:tcBorders>
              <w:right w:val="single" w:color="auto" w:sz="4" w:space="0"/>
            </w:tcBorders>
            <w:vAlign w:val="center"/>
          </w:tcPr>
          <w:p>
            <w:pPr>
              <w:jc w:val="center"/>
              <w:rPr>
                <w:rFonts w:asciiTheme="minorEastAsia" w:hAnsiTheme="minorEastAsia" w:cstheme="minorEastAsia"/>
                <w:szCs w:val="21"/>
              </w:rPr>
            </w:pPr>
          </w:p>
        </w:tc>
        <w:tc>
          <w:tcPr>
            <w:tcW w:w="1667" w:type="dxa"/>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b/>
                <w:bCs/>
                <w:szCs w:val="21"/>
              </w:rPr>
            </w:pPr>
            <w:r>
              <w:rPr>
                <w:rFonts w:hint="eastAsia" w:asciiTheme="minorEastAsia" w:hAnsiTheme="minorEastAsia" w:cstheme="minorEastAsia"/>
                <w:szCs w:val="21"/>
              </w:rPr>
              <w:t>同类项目经验（10分）</w:t>
            </w:r>
          </w:p>
        </w:tc>
        <w:tc>
          <w:tcPr>
            <w:tcW w:w="4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申请人在近</w:t>
            </w:r>
            <w:r>
              <w:rPr>
                <w:rFonts w:hint="eastAsia" w:ascii="宋体" w:hAnsi="宋体" w:cs="宋体"/>
                <w:kern w:val="0"/>
                <w:szCs w:val="21"/>
                <w:lang w:eastAsia="zh-CN"/>
              </w:rPr>
              <w:t>五</w:t>
            </w:r>
            <w:r>
              <w:rPr>
                <w:rFonts w:hint="eastAsia" w:ascii="宋体" w:hAnsi="宋体" w:cs="宋体"/>
                <w:kern w:val="0"/>
                <w:szCs w:val="21"/>
              </w:rPr>
              <w:t>年内（201</w:t>
            </w:r>
            <w:r>
              <w:rPr>
                <w:rFonts w:ascii="宋体" w:hAnsi="宋体" w:cs="宋体"/>
                <w:kern w:val="0"/>
                <w:szCs w:val="21"/>
              </w:rPr>
              <w:t>5</w:t>
            </w:r>
            <w:r>
              <w:rPr>
                <w:rFonts w:hint="eastAsia" w:ascii="宋体" w:hAnsi="宋体" w:cs="宋体"/>
                <w:kern w:val="0"/>
                <w:szCs w:val="21"/>
              </w:rPr>
              <w:t>年</w:t>
            </w:r>
            <w:r>
              <w:rPr>
                <w:rFonts w:ascii="宋体" w:hAnsi="宋体" w:cs="宋体"/>
                <w:kern w:val="0"/>
                <w:szCs w:val="21"/>
              </w:rPr>
              <w:t>4</w:t>
            </w:r>
            <w:r>
              <w:rPr>
                <w:rFonts w:hint="eastAsia" w:ascii="宋体" w:hAnsi="宋体" w:cs="宋体"/>
                <w:kern w:val="0"/>
                <w:szCs w:val="21"/>
              </w:rPr>
              <w:t>月1日至今，以签订合同日期为准）至少有一个与本影院体量相当的电影院经营业绩（包括正在运营项目）得6分，每增加一个正在经营项目加2分，最高10分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3" w:hRule="atLeast"/>
          <w:jc w:val="center"/>
        </w:trPr>
        <w:tc>
          <w:tcPr>
            <w:tcW w:w="900" w:type="dxa"/>
            <w:vMerge w:val="continue"/>
            <w:tcBorders>
              <w:right w:val="single" w:color="auto" w:sz="4" w:space="0"/>
            </w:tcBorders>
            <w:vAlign w:val="center"/>
          </w:tcPr>
          <w:p>
            <w:pPr>
              <w:jc w:val="center"/>
              <w:rPr>
                <w:rFonts w:asciiTheme="minorEastAsia" w:hAnsiTheme="minorEastAsia" w:cstheme="minorEastAsia"/>
                <w:szCs w:val="21"/>
              </w:rPr>
            </w:pPr>
          </w:p>
        </w:tc>
        <w:tc>
          <w:tcPr>
            <w:tcW w:w="1340" w:type="dxa"/>
            <w:tcBorders>
              <w:right w:val="single" w:color="auto" w:sz="4" w:space="0"/>
            </w:tcBorders>
            <w:vAlign w:val="center"/>
          </w:tcPr>
          <w:p>
            <w:pPr>
              <w:jc w:val="center"/>
              <w:rPr>
                <w:rFonts w:asciiTheme="minorEastAsia" w:hAnsiTheme="minorEastAsia" w:cstheme="minorEastAsia"/>
                <w:szCs w:val="21"/>
              </w:rPr>
            </w:pPr>
          </w:p>
        </w:tc>
        <w:tc>
          <w:tcPr>
            <w:tcW w:w="1667" w:type="dxa"/>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院线合作协议书（2分）</w:t>
            </w:r>
          </w:p>
        </w:tc>
        <w:tc>
          <w:tcPr>
            <w:tcW w:w="4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投标人应具备与国家正规院线签订的合作协议书（2分）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jc w:val="center"/>
        </w:trPr>
        <w:tc>
          <w:tcPr>
            <w:tcW w:w="900" w:type="dxa"/>
            <w:vMerge w:val="continue"/>
            <w:tcBorders>
              <w:right w:val="single" w:color="auto" w:sz="4" w:space="0"/>
            </w:tcBorders>
          </w:tcPr>
          <w:p>
            <w:pPr>
              <w:jc w:val="center"/>
              <w:rPr>
                <w:rFonts w:asciiTheme="minorEastAsia" w:hAnsiTheme="minorEastAsia" w:cstheme="minorEastAsia"/>
                <w:szCs w:val="21"/>
              </w:rPr>
            </w:pPr>
          </w:p>
        </w:tc>
        <w:tc>
          <w:tcPr>
            <w:tcW w:w="1340" w:type="dxa"/>
            <w:vMerge w:val="restart"/>
            <w:tcBorders>
              <w:top w:val="single" w:color="auto" w:sz="4" w:space="0"/>
              <w:right w:val="single" w:color="auto" w:sz="4" w:space="0"/>
            </w:tcBorders>
            <w:vAlign w:val="center"/>
          </w:tcPr>
          <w:p>
            <w:pPr>
              <w:jc w:val="center"/>
              <w:rPr>
                <w:rFonts w:asciiTheme="minorEastAsia" w:hAnsiTheme="minorEastAsia" w:cstheme="minorEastAsia"/>
                <w:szCs w:val="21"/>
              </w:rPr>
            </w:pPr>
          </w:p>
          <w:p>
            <w:pPr>
              <w:jc w:val="center"/>
              <w:rPr>
                <w:rFonts w:asciiTheme="minorEastAsia" w:hAnsiTheme="minorEastAsia" w:cstheme="minorEastAsia"/>
                <w:szCs w:val="21"/>
              </w:rPr>
            </w:pPr>
          </w:p>
          <w:p>
            <w:pPr>
              <w:jc w:val="center"/>
              <w:rPr>
                <w:rFonts w:asciiTheme="minorEastAsia" w:hAnsiTheme="minorEastAsia" w:cstheme="minorEastAsia"/>
                <w:szCs w:val="21"/>
              </w:rPr>
            </w:pPr>
          </w:p>
          <w:p>
            <w:pPr>
              <w:jc w:val="center"/>
              <w:rPr>
                <w:rFonts w:asciiTheme="minorEastAsia" w:hAnsiTheme="minorEastAsia" w:cstheme="minorEastAsia"/>
                <w:szCs w:val="21"/>
              </w:rPr>
            </w:pPr>
            <w:r>
              <w:rPr>
                <w:rFonts w:hint="eastAsia" w:asciiTheme="minorEastAsia" w:hAnsiTheme="minorEastAsia" w:cstheme="minorEastAsia"/>
                <w:szCs w:val="21"/>
              </w:rPr>
              <w:t>技术评审</w:t>
            </w:r>
          </w:p>
          <w:p>
            <w:pPr>
              <w:jc w:val="center"/>
              <w:rPr>
                <w:rFonts w:asciiTheme="minorEastAsia" w:hAnsiTheme="minorEastAsia" w:cstheme="minorEastAsia"/>
                <w:szCs w:val="21"/>
              </w:rPr>
            </w:pPr>
            <w:r>
              <w:rPr>
                <w:rFonts w:hint="eastAsia" w:asciiTheme="minorEastAsia" w:hAnsiTheme="minorEastAsia" w:cstheme="minorEastAsia"/>
                <w:szCs w:val="21"/>
              </w:rPr>
              <w:t>评分标准</w:t>
            </w:r>
          </w:p>
          <w:p>
            <w:pPr>
              <w:jc w:val="center"/>
              <w:rPr>
                <w:rFonts w:asciiTheme="minorEastAsia" w:hAnsiTheme="minorEastAsia" w:cstheme="minorEastAsia"/>
                <w:szCs w:val="21"/>
                <w:highlight w:val="yellow"/>
              </w:rPr>
            </w:pPr>
            <w:r>
              <w:rPr>
                <w:rFonts w:hint="eastAsia" w:asciiTheme="minorEastAsia" w:hAnsiTheme="minorEastAsia" w:cstheme="minorEastAsia"/>
                <w:szCs w:val="21"/>
              </w:rPr>
              <w:t>（30分）</w:t>
            </w:r>
          </w:p>
        </w:tc>
        <w:tc>
          <w:tcPr>
            <w:tcW w:w="16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运营方案（25分）</w:t>
            </w:r>
          </w:p>
        </w:tc>
        <w:tc>
          <w:tcPr>
            <w:tcW w:w="4913" w:type="dxa"/>
            <w:tcBorders>
              <w:top w:val="single" w:color="auto" w:sz="4" w:space="0"/>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r>
              <w:rPr>
                <w:rFonts w:hint="eastAsia" w:asciiTheme="minorEastAsia" w:hAnsiTheme="minorEastAsia" w:cstheme="minorEastAsia"/>
                <w:spacing w:val="12"/>
                <w:szCs w:val="21"/>
              </w:rPr>
              <w:t>预见性强，</w:t>
            </w:r>
            <w:r>
              <w:rPr>
                <w:rFonts w:hint="eastAsia" w:ascii="宋体" w:hAnsi="宋体" w:cs="宋体"/>
                <w:kern w:val="0"/>
                <w:szCs w:val="21"/>
              </w:rPr>
              <w:t>方案合理、有针对性，可操作性强，具有创新性、独特性的建议</w:t>
            </w:r>
            <w:r>
              <w:rPr>
                <w:rFonts w:hint="eastAsia" w:asciiTheme="minorEastAsia" w:hAnsiTheme="minorEastAsia" w:cstheme="minorEastAsia"/>
                <w:spacing w:val="12"/>
                <w:szCs w:val="21"/>
              </w:rPr>
              <w:t>，得分区间20-25分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jc w:val="center"/>
        </w:trPr>
        <w:tc>
          <w:tcPr>
            <w:tcW w:w="900" w:type="dxa"/>
            <w:vMerge w:val="continue"/>
            <w:tcBorders>
              <w:right w:val="single" w:color="auto" w:sz="4" w:space="0"/>
            </w:tcBorders>
          </w:tcPr>
          <w:p>
            <w:pPr>
              <w:jc w:val="center"/>
              <w:rPr>
                <w:rFonts w:asciiTheme="minorEastAsia" w:hAnsiTheme="minorEastAsia" w:cstheme="minorEastAsia"/>
                <w:szCs w:val="21"/>
              </w:rPr>
            </w:pPr>
          </w:p>
        </w:tc>
        <w:tc>
          <w:tcPr>
            <w:tcW w:w="1340" w:type="dxa"/>
            <w:vMerge w:val="continue"/>
            <w:tcBorders>
              <w:right w:val="single" w:color="auto" w:sz="4" w:space="0"/>
            </w:tcBorders>
          </w:tcPr>
          <w:p>
            <w:pPr>
              <w:jc w:val="center"/>
              <w:rPr>
                <w:rFonts w:asciiTheme="minorEastAsia" w:hAnsiTheme="minorEastAsia" w:cstheme="minorEastAsia"/>
                <w:szCs w:val="21"/>
                <w:highlight w:val="yellow"/>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p>
        </w:tc>
        <w:tc>
          <w:tcPr>
            <w:tcW w:w="4913" w:type="dxa"/>
            <w:tcBorders>
              <w:top w:val="single" w:color="auto" w:sz="4" w:space="0"/>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r>
              <w:rPr>
                <w:rFonts w:hint="eastAsia" w:asciiTheme="minorEastAsia" w:hAnsiTheme="minorEastAsia" w:cstheme="minorEastAsia"/>
                <w:szCs w:val="21"/>
              </w:rPr>
              <w:t>预见性一般，管控手段不足，</w:t>
            </w:r>
            <w:r>
              <w:rPr>
                <w:rFonts w:hint="eastAsia" w:ascii="宋体" w:hAnsi="宋体" w:cs="宋体"/>
                <w:kern w:val="0"/>
                <w:szCs w:val="21"/>
              </w:rPr>
              <w:t>从装修、设备选择、运营等方面编制项目运营方案</w:t>
            </w:r>
            <w:r>
              <w:rPr>
                <w:rFonts w:hint="eastAsia" w:asciiTheme="minorEastAsia" w:hAnsiTheme="minorEastAsia" w:cstheme="minorEastAsia"/>
                <w:szCs w:val="21"/>
              </w:rPr>
              <w:t>，具备可行性，得分区间13-19分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jc w:val="center"/>
        </w:trPr>
        <w:tc>
          <w:tcPr>
            <w:tcW w:w="900" w:type="dxa"/>
            <w:vMerge w:val="continue"/>
            <w:tcBorders>
              <w:right w:val="single" w:color="auto" w:sz="4" w:space="0"/>
            </w:tcBorders>
          </w:tcPr>
          <w:p>
            <w:pPr>
              <w:jc w:val="center"/>
              <w:rPr>
                <w:rFonts w:asciiTheme="minorEastAsia" w:hAnsiTheme="minorEastAsia" w:cstheme="minorEastAsia"/>
                <w:szCs w:val="21"/>
              </w:rPr>
            </w:pPr>
          </w:p>
        </w:tc>
        <w:tc>
          <w:tcPr>
            <w:tcW w:w="1340" w:type="dxa"/>
            <w:vMerge w:val="continue"/>
            <w:tcBorders>
              <w:right w:val="single" w:color="auto" w:sz="4" w:space="0"/>
            </w:tcBorders>
          </w:tcPr>
          <w:p>
            <w:pPr>
              <w:jc w:val="center"/>
              <w:rPr>
                <w:rFonts w:asciiTheme="minorEastAsia" w:hAnsiTheme="minorEastAsia" w:cstheme="minorEastAsia"/>
                <w:szCs w:val="21"/>
                <w:highlight w:val="yellow"/>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p>
        </w:tc>
        <w:tc>
          <w:tcPr>
            <w:tcW w:w="4913" w:type="dxa"/>
            <w:tcBorders>
              <w:top w:val="single" w:color="auto" w:sz="4" w:space="0"/>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r>
              <w:rPr>
                <w:rFonts w:hint="eastAsia" w:asciiTheme="minorEastAsia" w:hAnsiTheme="minorEastAsia" w:cstheme="minorEastAsia"/>
                <w:szCs w:val="21"/>
              </w:rPr>
              <w:t>预见性明显不足，管控手段严重缺乏，无针对性和可行性，得分区间0-12分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900" w:type="dxa"/>
            <w:vMerge w:val="continue"/>
            <w:tcBorders>
              <w:right w:val="single" w:color="auto" w:sz="4" w:space="0"/>
            </w:tcBorders>
          </w:tcPr>
          <w:p>
            <w:pPr>
              <w:jc w:val="center"/>
              <w:rPr>
                <w:rFonts w:asciiTheme="minorEastAsia" w:hAnsiTheme="minorEastAsia" w:cstheme="minorEastAsia"/>
                <w:szCs w:val="21"/>
              </w:rPr>
            </w:pPr>
          </w:p>
        </w:tc>
        <w:tc>
          <w:tcPr>
            <w:tcW w:w="1340" w:type="dxa"/>
            <w:vMerge w:val="continue"/>
            <w:tcBorders>
              <w:right w:val="single" w:color="auto" w:sz="4" w:space="0"/>
            </w:tcBorders>
            <w:vAlign w:val="center"/>
          </w:tcPr>
          <w:p>
            <w:pPr>
              <w:jc w:val="center"/>
              <w:rPr>
                <w:rFonts w:asciiTheme="minorEastAsia" w:hAnsiTheme="minorEastAsia" w:cstheme="minorEastAsia"/>
                <w:szCs w:val="21"/>
                <w:highlight w:val="yellow"/>
              </w:rPr>
            </w:pPr>
          </w:p>
        </w:tc>
        <w:tc>
          <w:tcPr>
            <w:tcW w:w="1667"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拟派服务团队</w:t>
            </w:r>
          </w:p>
          <w:p>
            <w:pPr>
              <w:jc w:val="center"/>
              <w:rPr>
                <w:rFonts w:asciiTheme="minorEastAsia" w:hAnsiTheme="minorEastAsia" w:cstheme="minorEastAsia"/>
                <w:szCs w:val="21"/>
              </w:rPr>
            </w:pPr>
            <w:r>
              <w:rPr>
                <w:rFonts w:hint="eastAsia" w:ascii="宋体" w:hAnsi="宋体" w:cs="宋体"/>
                <w:kern w:val="0"/>
              </w:rPr>
              <w:t>（5分）</w:t>
            </w:r>
          </w:p>
        </w:tc>
        <w:tc>
          <w:tcPr>
            <w:tcW w:w="4913" w:type="dxa"/>
            <w:tcBorders>
              <w:top w:val="single" w:color="auto" w:sz="4" w:space="0"/>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r>
              <w:rPr>
                <w:rFonts w:hint="eastAsia" w:asciiTheme="minorEastAsia" w:hAnsiTheme="minorEastAsia" w:cstheme="minorEastAsia"/>
                <w:szCs w:val="21"/>
              </w:rPr>
              <w:t>人员架构齐整，运营经验丰富，得分区间4-5分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900" w:type="dxa"/>
            <w:vMerge w:val="continue"/>
            <w:tcBorders>
              <w:right w:val="single" w:color="auto" w:sz="4" w:space="0"/>
            </w:tcBorders>
          </w:tcPr>
          <w:p>
            <w:pPr>
              <w:tabs>
                <w:tab w:val="left" w:pos="720"/>
              </w:tabs>
              <w:ind w:right="-104"/>
              <w:jc w:val="left"/>
            </w:pPr>
          </w:p>
        </w:tc>
        <w:tc>
          <w:tcPr>
            <w:tcW w:w="1340" w:type="dxa"/>
            <w:vMerge w:val="continue"/>
            <w:tcBorders>
              <w:right w:val="single" w:color="auto" w:sz="4" w:space="0"/>
            </w:tcBorders>
            <w:vAlign w:val="center"/>
          </w:tcPr>
          <w:p>
            <w:pPr>
              <w:tabs>
                <w:tab w:val="left" w:pos="720"/>
              </w:tabs>
              <w:ind w:right="-104"/>
              <w:jc w:val="left"/>
              <w:rPr>
                <w:highlight w:val="yellow"/>
              </w:rPr>
            </w:pPr>
          </w:p>
        </w:tc>
        <w:tc>
          <w:tcPr>
            <w:tcW w:w="1667" w:type="dxa"/>
            <w:vMerge w:val="continue"/>
            <w:tcBorders>
              <w:left w:val="single" w:color="auto" w:sz="4" w:space="0"/>
              <w:right w:val="single" w:color="auto" w:sz="4" w:space="0"/>
            </w:tcBorders>
            <w:vAlign w:val="center"/>
          </w:tcPr>
          <w:p>
            <w:pPr>
              <w:tabs>
                <w:tab w:val="left" w:pos="720"/>
              </w:tabs>
              <w:ind w:right="-104"/>
              <w:jc w:val="left"/>
            </w:pPr>
          </w:p>
        </w:tc>
        <w:tc>
          <w:tcPr>
            <w:tcW w:w="4913" w:type="dxa"/>
            <w:tcBorders>
              <w:top w:val="single" w:color="auto" w:sz="4" w:space="0"/>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r>
              <w:rPr>
                <w:rFonts w:hint="eastAsia" w:asciiTheme="minorEastAsia" w:hAnsiTheme="minorEastAsia" w:cstheme="minorEastAsia"/>
                <w:szCs w:val="21"/>
              </w:rPr>
              <w:t>人员架构尚可，有一定运营经验，得分区间2-3分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900" w:type="dxa"/>
            <w:vMerge w:val="continue"/>
            <w:tcBorders>
              <w:right w:val="single" w:color="auto" w:sz="4" w:space="0"/>
            </w:tcBorders>
          </w:tcPr>
          <w:p>
            <w:pPr>
              <w:tabs>
                <w:tab w:val="left" w:pos="720"/>
              </w:tabs>
              <w:ind w:right="-104"/>
              <w:jc w:val="left"/>
              <w:rPr>
                <w:rFonts w:asciiTheme="minorEastAsia" w:hAnsiTheme="minorEastAsia" w:cstheme="minorEastAsia"/>
                <w:szCs w:val="21"/>
              </w:rPr>
            </w:pPr>
          </w:p>
        </w:tc>
        <w:tc>
          <w:tcPr>
            <w:tcW w:w="1340" w:type="dxa"/>
            <w:vMerge w:val="continue"/>
            <w:tcBorders>
              <w:right w:val="single" w:color="auto" w:sz="4" w:space="0"/>
            </w:tcBorders>
            <w:vAlign w:val="center"/>
          </w:tcPr>
          <w:p>
            <w:pPr>
              <w:tabs>
                <w:tab w:val="left" w:pos="720"/>
              </w:tabs>
              <w:ind w:right="-104"/>
              <w:jc w:val="left"/>
              <w:rPr>
                <w:rFonts w:asciiTheme="minorEastAsia" w:hAnsiTheme="minorEastAsia" w:cstheme="minorEastAsia"/>
                <w:szCs w:val="21"/>
                <w:highlight w:val="yellow"/>
              </w:rPr>
            </w:pPr>
          </w:p>
        </w:tc>
        <w:tc>
          <w:tcPr>
            <w:tcW w:w="1667" w:type="dxa"/>
            <w:vMerge w:val="continue"/>
            <w:tcBorders>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p>
        </w:tc>
        <w:tc>
          <w:tcPr>
            <w:tcW w:w="4913" w:type="dxa"/>
            <w:tcBorders>
              <w:top w:val="single" w:color="auto" w:sz="4" w:space="0"/>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r>
              <w:rPr>
                <w:rFonts w:hint="eastAsia" w:asciiTheme="minorEastAsia" w:hAnsiTheme="minorEastAsia" w:cstheme="minorEastAsia"/>
                <w:szCs w:val="21"/>
              </w:rPr>
              <w:t>人员架构偏弱，缺少运营经验，得分区间0-1分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6" w:hRule="atLeast"/>
          <w:jc w:val="center"/>
        </w:trPr>
        <w:tc>
          <w:tcPr>
            <w:tcW w:w="900" w:type="dxa"/>
            <w:vMerge w:val="continue"/>
            <w:tcBorders>
              <w:bottom w:val="single" w:color="auto" w:sz="4" w:space="0"/>
              <w:right w:val="single" w:color="auto" w:sz="4" w:space="0"/>
            </w:tcBorders>
          </w:tcPr>
          <w:p>
            <w:pPr>
              <w:jc w:val="center"/>
              <w:rPr>
                <w:rFonts w:asciiTheme="minorEastAsia" w:hAnsiTheme="minorEastAsia" w:cstheme="minorEastAsia"/>
                <w:szCs w:val="21"/>
              </w:rPr>
            </w:pPr>
          </w:p>
        </w:tc>
        <w:tc>
          <w:tcPr>
            <w:tcW w:w="7920" w:type="dxa"/>
            <w:gridSpan w:val="3"/>
            <w:tcBorders>
              <w:top w:val="single" w:color="auto" w:sz="4" w:space="0"/>
              <w:bottom w:val="single" w:color="auto" w:sz="4" w:space="0"/>
              <w:right w:val="single" w:color="auto" w:sz="4" w:space="0"/>
            </w:tcBorders>
          </w:tcPr>
          <w:p>
            <w:pPr>
              <w:jc w:val="left"/>
              <w:rPr>
                <w:rFonts w:asciiTheme="minorEastAsia" w:hAnsiTheme="minorEastAsia" w:cstheme="minorEastAsia"/>
                <w:kern w:val="0"/>
                <w:szCs w:val="21"/>
              </w:rPr>
            </w:pPr>
            <w:r>
              <w:rPr>
                <w:rFonts w:hint="eastAsia" w:asciiTheme="minorEastAsia" w:hAnsiTheme="minorEastAsia" w:cstheme="minorEastAsia"/>
                <w:b/>
                <w:bCs/>
                <w:kern w:val="0"/>
                <w:szCs w:val="21"/>
              </w:rPr>
              <w:t>注：在评分时，以上评分因素如有缺项，则该项按0分计。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0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2.2.3（2）</w:t>
            </w: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投标报价评分标准（50分）</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kern w:val="0"/>
                <w:szCs w:val="21"/>
              </w:rPr>
              <w:t>投标报价得分计算</w:t>
            </w:r>
          </w:p>
        </w:tc>
        <w:tc>
          <w:tcPr>
            <w:tcW w:w="4913"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投标报价得分计算方法：</w:t>
            </w:r>
          </w:p>
          <w:p>
            <w:pPr>
              <w:jc w:val="left"/>
              <w:rPr>
                <w:rFonts w:asciiTheme="minorEastAsia" w:hAnsiTheme="minorEastAsia" w:cstheme="minorEastAsia"/>
                <w:kern w:val="0"/>
                <w:szCs w:val="21"/>
              </w:rPr>
            </w:pPr>
            <w:r>
              <w:rPr>
                <w:rFonts w:hint="eastAsia" w:asciiTheme="minorEastAsia" w:hAnsiTheme="minorEastAsia" w:cstheme="minorEastAsia"/>
                <w:kern w:val="0"/>
                <w:szCs w:val="21"/>
              </w:rPr>
              <w:t>投标报价得分</w:t>
            </w:r>
            <w:r>
              <w:rPr>
                <w:rFonts w:asciiTheme="minorEastAsia" w:hAnsiTheme="minorEastAsia" w:cstheme="minorEastAsia"/>
                <w:kern w:val="0"/>
                <w:szCs w:val="21"/>
              </w:rPr>
              <w:t>=投标人投标价/评标基准价*50</w:t>
            </w:r>
          </w:p>
          <w:p>
            <w:pPr>
              <w:rPr>
                <w:rFonts w:asciiTheme="minorEastAsia" w:hAnsiTheme="minorEastAsia" w:cstheme="minorEastAsia"/>
                <w:szCs w:val="21"/>
              </w:rPr>
            </w:pPr>
            <w:r>
              <w:rPr>
                <w:rFonts w:hint="eastAsia" w:asciiTheme="minorEastAsia" w:hAnsiTheme="minorEastAsia" w:cstheme="minorEastAsia"/>
                <w:b/>
                <w:bCs/>
                <w:kern w:val="0"/>
                <w:szCs w:val="21"/>
              </w:rPr>
              <w:t>注：以投标人第一年租金报价</w:t>
            </w:r>
            <w:r>
              <w:rPr>
                <w:rFonts w:asciiTheme="minorEastAsia" w:hAnsiTheme="minorEastAsia" w:cstheme="minorEastAsia"/>
                <w:b/>
                <w:bCs/>
                <w:kern w:val="0"/>
                <w:szCs w:val="21"/>
              </w:rPr>
              <w:t>计算得分</w:t>
            </w:r>
          </w:p>
        </w:tc>
      </w:tr>
    </w:tbl>
    <w:p>
      <w:pPr>
        <w:spacing w:line="400" w:lineRule="exact"/>
      </w:pPr>
      <w:r>
        <w:br w:type="page"/>
      </w:r>
    </w:p>
    <w:p>
      <w:pPr>
        <w:pStyle w:val="5"/>
      </w:pPr>
      <w:bookmarkStart w:id="503" w:name="_Toc152042377"/>
      <w:bookmarkStart w:id="504" w:name="_Toc144974567"/>
      <w:bookmarkStart w:id="505" w:name="_Toc247085758"/>
      <w:bookmarkStart w:id="506" w:name="_Toc10537"/>
      <w:bookmarkStart w:id="507" w:name="_Toc11518"/>
      <w:bookmarkStart w:id="508" w:name="_Toc31668"/>
      <w:bookmarkStart w:id="509" w:name="_Toc179632618"/>
      <w:bookmarkStart w:id="510" w:name="_Toc246996243"/>
      <w:bookmarkStart w:id="511" w:name="_Toc246996986"/>
      <w:bookmarkStart w:id="512" w:name="_Toc152045600"/>
      <w:bookmarkStart w:id="513" w:name="_Toc16922"/>
      <w:bookmarkStart w:id="514" w:name="_Toc15504"/>
      <w:bookmarkStart w:id="515" w:name="_Toc276"/>
      <w:bookmarkStart w:id="516" w:name="_Toc12287"/>
      <w:r>
        <w:rPr>
          <w:rFonts w:hint="eastAsia"/>
        </w:rPr>
        <w:t>1. 评标方法</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spacing w:line="400" w:lineRule="exact"/>
        <w:ind w:firstLine="420" w:firstLineChars="200"/>
      </w:pPr>
      <w:r>
        <w:rPr>
          <w:rFonts w:hint="eastAsia"/>
        </w:rPr>
        <w:t>本次评标采用综合评估法，见评标办法前附表。</w:t>
      </w:r>
    </w:p>
    <w:p>
      <w:pPr>
        <w:pStyle w:val="5"/>
      </w:pPr>
      <w:bookmarkStart w:id="517" w:name="_Toc408"/>
      <w:bookmarkStart w:id="518" w:name="_Toc10393"/>
      <w:bookmarkStart w:id="519" w:name="_Toc18695"/>
      <w:bookmarkStart w:id="520" w:name="_Toc247085759"/>
      <w:bookmarkStart w:id="521" w:name="_Toc144974568"/>
      <w:bookmarkStart w:id="522" w:name="_Toc10778"/>
      <w:bookmarkStart w:id="523" w:name="_Toc12078"/>
      <w:bookmarkStart w:id="524" w:name="_Toc152042378"/>
      <w:bookmarkStart w:id="525" w:name="_Toc152045601"/>
      <w:bookmarkStart w:id="526" w:name="_Toc9305"/>
      <w:bookmarkStart w:id="527" w:name="_Toc179632619"/>
      <w:bookmarkStart w:id="528" w:name="_Toc246996244"/>
      <w:bookmarkStart w:id="529" w:name="_Toc28826"/>
      <w:bookmarkStart w:id="530" w:name="_Toc246996987"/>
      <w:r>
        <w:rPr>
          <w:rFonts w:hint="eastAsia"/>
        </w:rPr>
        <w:t>2. 评审标准</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6"/>
      </w:pPr>
      <w:bookmarkStart w:id="531" w:name="_Toc179632620"/>
      <w:bookmarkStart w:id="532" w:name="_Toc144974569"/>
      <w:bookmarkStart w:id="533" w:name="_Toc11739"/>
      <w:bookmarkStart w:id="534" w:name="_Toc246996988"/>
      <w:bookmarkStart w:id="535" w:name="_Toc152042379"/>
      <w:bookmarkStart w:id="536" w:name="_Toc152045602"/>
      <w:bookmarkStart w:id="537" w:name="_Toc247085760"/>
      <w:bookmarkStart w:id="538" w:name="_Toc548"/>
      <w:bookmarkStart w:id="539" w:name="_Toc246996245"/>
      <w:r>
        <w:rPr>
          <w:rFonts w:hint="eastAsia"/>
        </w:rPr>
        <w:t>2.1 初步评审标准</w:t>
      </w:r>
      <w:bookmarkEnd w:id="531"/>
      <w:bookmarkEnd w:id="532"/>
      <w:bookmarkEnd w:id="533"/>
      <w:bookmarkEnd w:id="534"/>
      <w:bookmarkEnd w:id="535"/>
      <w:bookmarkEnd w:id="536"/>
      <w:bookmarkEnd w:id="537"/>
      <w:bookmarkEnd w:id="538"/>
      <w:bookmarkEnd w:id="539"/>
    </w:p>
    <w:p>
      <w:pPr>
        <w:spacing w:line="400" w:lineRule="exact"/>
        <w:ind w:firstLine="420" w:firstLineChars="200"/>
      </w:pPr>
      <w:r>
        <w:rPr>
          <w:rFonts w:hint="eastAsia"/>
        </w:rPr>
        <w:t>2.1.1 资格评审标准：见评标办法前附表。</w:t>
      </w:r>
    </w:p>
    <w:p>
      <w:pPr>
        <w:spacing w:line="400" w:lineRule="exact"/>
        <w:ind w:firstLine="420" w:firstLineChars="200"/>
      </w:pPr>
      <w:r>
        <w:rPr>
          <w:rFonts w:hint="eastAsia"/>
        </w:rPr>
        <w:t>2.1.2 响应性评审标准：见评标办法前附表。</w:t>
      </w:r>
    </w:p>
    <w:p>
      <w:pPr>
        <w:pStyle w:val="6"/>
      </w:pPr>
      <w:bookmarkStart w:id="540" w:name="_Toc144974570"/>
      <w:bookmarkStart w:id="541" w:name="_Toc152045603"/>
      <w:bookmarkStart w:id="542" w:name="_Toc25680"/>
      <w:bookmarkStart w:id="543" w:name="_Toc247085761"/>
      <w:bookmarkStart w:id="544" w:name="_Toc246996989"/>
      <w:bookmarkStart w:id="545" w:name="_Toc152042380"/>
      <w:bookmarkStart w:id="546" w:name="_Toc246996246"/>
      <w:bookmarkStart w:id="547" w:name="_Toc479"/>
      <w:bookmarkStart w:id="548" w:name="_Toc179632621"/>
      <w:r>
        <w:rPr>
          <w:rFonts w:hint="eastAsia"/>
        </w:rPr>
        <w:t>2.2 分值构成与评分标准</w:t>
      </w:r>
      <w:bookmarkEnd w:id="540"/>
      <w:bookmarkEnd w:id="541"/>
      <w:bookmarkEnd w:id="542"/>
      <w:bookmarkEnd w:id="543"/>
      <w:bookmarkEnd w:id="544"/>
      <w:bookmarkEnd w:id="545"/>
      <w:bookmarkEnd w:id="546"/>
      <w:bookmarkEnd w:id="547"/>
      <w:bookmarkEnd w:id="548"/>
    </w:p>
    <w:p>
      <w:pPr>
        <w:spacing w:line="400" w:lineRule="exact"/>
        <w:ind w:firstLine="420" w:firstLineChars="200"/>
      </w:pPr>
      <w:r>
        <w:rPr>
          <w:rFonts w:hint="eastAsia"/>
        </w:rPr>
        <w:t>2.2.1 分值构成</w:t>
      </w:r>
    </w:p>
    <w:p>
      <w:pPr>
        <w:numPr>
          <w:ilvl w:val="0"/>
          <w:numId w:val="6"/>
        </w:numPr>
        <w:spacing w:line="400" w:lineRule="exact"/>
        <w:ind w:firstLine="718" w:firstLineChars="342"/>
      </w:pPr>
      <w:r>
        <w:rPr>
          <w:rFonts w:hint="eastAsia"/>
        </w:rPr>
        <w:t>营业执照、注册资本、企业信誉、项目经验、院线合作协议、运营方案、拟派服务团队：见评标办法前附表；</w:t>
      </w:r>
    </w:p>
    <w:p>
      <w:pPr>
        <w:numPr>
          <w:ilvl w:val="0"/>
          <w:numId w:val="6"/>
        </w:numPr>
        <w:spacing w:line="400" w:lineRule="exact"/>
        <w:ind w:firstLine="718" w:firstLineChars="342"/>
      </w:pPr>
      <w:r>
        <w:rPr>
          <w:rFonts w:hint="eastAsia"/>
        </w:rPr>
        <w:t>投标报价：见评标办法前附表。</w:t>
      </w:r>
    </w:p>
    <w:p>
      <w:pPr>
        <w:spacing w:line="400" w:lineRule="exact"/>
        <w:ind w:firstLine="420" w:firstLineChars="200"/>
      </w:pPr>
      <w:r>
        <w:rPr>
          <w:rFonts w:hint="eastAsia"/>
        </w:rPr>
        <w:t>2.2.2 评标基准价计算</w:t>
      </w:r>
    </w:p>
    <w:p>
      <w:pPr>
        <w:spacing w:line="400" w:lineRule="exact"/>
        <w:ind w:firstLine="840" w:firstLineChars="400"/>
      </w:pPr>
      <w:r>
        <w:rPr>
          <w:rFonts w:hint="eastAsia"/>
        </w:rPr>
        <w:t>评标基准价计算方法：见评标办法前附表。</w:t>
      </w:r>
    </w:p>
    <w:p>
      <w:pPr>
        <w:spacing w:line="400" w:lineRule="exact"/>
        <w:ind w:firstLine="420" w:firstLineChars="200"/>
      </w:pPr>
      <w:r>
        <w:rPr>
          <w:rFonts w:hint="eastAsia"/>
        </w:rPr>
        <w:t>2.2.3 评分标准</w:t>
      </w:r>
    </w:p>
    <w:p>
      <w:pPr>
        <w:spacing w:line="400" w:lineRule="exact"/>
        <w:ind w:firstLine="718" w:firstLineChars="342"/>
      </w:pPr>
      <w:r>
        <w:rPr>
          <w:rFonts w:hint="eastAsia"/>
        </w:rPr>
        <w:t>（1）营业执照、注册资本、企业信誉、项目经验、院线合作协议、运营方案、拟派服务团队：见评标办法前附表；</w:t>
      </w:r>
    </w:p>
    <w:p>
      <w:pPr>
        <w:spacing w:line="400" w:lineRule="exact"/>
        <w:ind w:firstLine="718" w:firstLineChars="342"/>
      </w:pPr>
      <w:r>
        <w:rPr>
          <w:rFonts w:hint="eastAsia"/>
        </w:rPr>
        <w:t>（2）投标报价评分标准：见评标办法前附表。</w:t>
      </w:r>
    </w:p>
    <w:p>
      <w:pPr>
        <w:pStyle w:val="5"/>
      </w:pPr>
      <w:bookmarkStart w:id="549" w:name="_Toc29479"/>
      <w:bookmarkStart w:id="550" w:name="_Toc247085762"/>
      <w:bookmarkStart w:id="551" w:name="_Toc246996247"/>
      <w:bookmarkStart w:id="552" w:name="_Toc23351"/>
      <w:bookmarkStart w:id="553" w:name="_Toc152042381"/>
      <w:bookmarkStart w:id="554" w:name="_Toc246996990"/>
      <w:bookmarkStart w:id="555" w:name="_Toc144974571"/>
      <w:bookmarkStart w:id="556" w:name="_Toc179632622"/>
      <w:bookmarkStart w:id="557" w:name="_Toc2995"/>
      <w:bookmarkStart w:id="558" w:name="_Toc152045604"/>
      <w:bookmarkStart w:id="559" w:name="_Toc25030"/>
      <w:bookmarkStart w:id="560" w:name="_Toc29682"/>
      <w:bookmarkStart w:id="561" w:name="_Toc6474"/>
      <w:bookmarkStart w:id="562" w:name="_Toc4767"/>
      <w:r>
        <w:rPr>
          <w:rFonts w:hint="eastAsia"/>
        </w:rPr>
        <w:t>3. 评标程序</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6"/>
      </w:pPr>
      <w:bookmarkStart w:id="563" w:name="_Toc144974572"/>
      <w:bookmarkStart w:id="564" w:name="_Toc152045605"/>
      <w:bookmarkStart w:id="565" w:name="_Toc152042382"/>
      <w:bookmarkStart w:id="566" w:name="_Toc2555"/>
      <w:bookmarkStart w:id="567" w:name="_Toc26682"/>
      <w:bookmarkStart w:id="568" w:name="_Toc247085763"/>
      <w:bookmarkStart w:id="569" w:name="_Toc179632623"/>
      <w:bookmarkStart w:id="570" w:name="_Toc246996248"/>
      <w:bookmarkStart w:id="571" w:name="_Toc246996991"/>
      <w:r>
        <w:rPr>
          <w:rFonts w:hint="eastAsia"/>
        </w:rPr>
        <w:t>3.1 初步评审</w:t>
      </w:r>
      <w:bookmarkEnd w:id="563"/>
      <w:bookmarkEnd w:id="564"/>
      <w:bookmarkEnd w:id="565"/>
      <w:bookmarkEnd w:id="566"/>
      <w:bookmarkEnd w:id="567"/>
      <w:bookmarkEnd w:id="568"/>
      <w:bookmarkEnd w:id="569"/>
      <w:bookmarkEnd w:id="570"/>
      <w:bookmarkEnd w:id="571"/>
    </w:p>
    <w:p>
      <w:pPr>
        <w:spacing w:line="400" w:lineRule="exact"/>
        <w:ind w:firstLine="420" w:firstLineChars="200"/>
      </w:pPr>
      <w:r>
        <w:rPr>
          <w:rFonts w:hint="eastAsia"/>
        </w:rPr>
        <w:t>3.1.1 评标委员会依据本章第2.1款规定的标准对投标文件进行初步评审。有一项不符合评审标准的，评标委员会应当否决其投标。</w:t>
      </w:r>
    </w:p>
    <w:p>
      <w:pPr>
        <w:spacing w:line="400" w:lineRule="exact"/>
        <w:ind w:firstLine="420" w:firstLineChars="200"/>
      </w:pPr>
      <w:r>
        <w:rPr>
          <w:rFonts w:hint="eastAsia"/>
        </w:rPr>
        <w:t>3.1.2 投标人有以下情形之一的，评标委员会应当否决其投标：</w:t>
      </w:r>
    </w:p>
    <w:p>
      <w:pPr>
        <w:spacing w:line="400" w:lineRule="exact"/>
        <w:ind w:firstLine="718" w:firstLineChars="342"/>
      </w:pPr>
      <w:r>
        <w:rPr>
          <w:rFonts w:hint="eastAsia"/>
        </w:rPr>
        <w:t>（1）串通投标或弄虚作假或有其他违法行为的；</w:t>
      </w:r>
    </w:p>
    <w:p>
      <w:pPr>
        <w:spacing w:line="400" w:lineRule="exact"/>
        <w:ind w:firstLine="718" w:firstLineChars="342"/>
      </w:pPr>
      <w:r>
        <w:rPr>
          <w:rFonts w:hint="eastAsia"/>
        </w:rPr>
        <w:t>（2）不按评标委员会要求澄清、说明或补正的。</w:t>
      </w:r>
    </w:p>
    <w:p>
      <w:pPr>
        <w:spacing w:line="400" w:lineRule="exact"/>
        <w:ind w:firstLine="420" w:firstLineChars="200"/>
      </w:pPr>
      <w:r>
        <w:rPr>
          <w:rFonts w:hint="eastAsia"/>
        </w:rPr>
        <w:t>3.1.3投标报价有算术错误的，评标委员会按以下原则对投标报价进行修正，修正的价格经投标人书面确认后具有约束力。投标人不接受修正价格的，评标委员会应当否决其投标。</w:t>
      </w:r>
    </w:p>
    <w:p>
      <w:pPr>
        <w:spacing w:line="400" w:lineRule="exact"/>
        <w:ind w:firstLine="718" w:firstLineChars="342"/>
      </w:pPr>
      <w:bookmarkStart w:id="572" w:name="_Toc152042383"/>
      <w:r>
        <w:rPr>
          <w:rFonts w:hint="eastAsia"/>
        </w:rPr>
        <w:t>（1）投标文件中的大写金额与小写金额不一致的，以大写金额为准。</w:t>
      </w:r>
      <w:bookmarkEnd w:id="572"/>
    </w:p>
    <w:p>
      <w:pPr>
        <w:pStyle w:val="6"/>
      </w:pPr>
      <w:bookmarkStart w:id="573" w:name="_Toc152042384"/>
      <w:bookmarkStart w:id="574" w:name="_Toc247085764"/>
      <w:bookmarkStart w:id="575" w:name="_Toc18960"/>
      <w:bookmarkStart w:id="576" w:name="_Toc152045606"/>
      <w:bookmarkStart w:id="577" w:name="_Toc179632624"/>
      <w:bookmarkStart w:id="578" w:name="_Toc246996249"/>
      <w:bookmarkStart w:id="579" w:name="_Toc11597"/>
      <w:bookmarkStart w:id="580" w:name="_Toc144974573"/>
      <w:bookmarkStart w:id="581" w:name="_Toc246996992"/>
      <w:r>
        <w:rPr>
          <w:rFonts w:hint="eastAsia"/>
        </w:rPr>
        <w:t>3.2 详细评审</w:t>
      </w:r>
      <w:bookmarkEnd w:id="573"/>
      <w:bookmarkEnd w:id="574"/>
      <w:bookmarkEnd w:id="575"/>
      <w:bookmarkEnd w:id="576"/>
      <w:bookmarkEnd w:id="577"/>
      <w:bookmarkEnd w:id="578"/>
      <w:bookmarkEnd w:id="579"/>
      <w:bookmarkEnd w:id="580"/>
      <w:bookmarkEnd w:id="581"/>
    </w:p>
    <w:p>
      <w:pPr>
        <w:spacing w:line="400" w:lineRule="exact"/>
        <w:ind w:firstLine="420" w:firstLineChars="200"/>
      </w:pPr>
      <w:r>
        <w:rPr>
          <w:rFonts w:hint="eastAsia"/>
        </w:rPr>
        <w:t>3.2.1 评标委员会按本章第2.2款规定的量化因素和分值进行打分，并计算出综合评估得分。</w:t>
      </w:r>
    </w:p>
    <w:p>
      <w:pPr>
        <w:spacing w:line="400" w:lineRule="exact"/>
        <w:ind w:firstLine="718" w:firstLineChars="342"/>
      </w:pPr>
      <w:r>
        <w:rPr>
          <w:rFonts w:hint="eastAsia"/>
        </w:rPr>
        <w:t>（1）按本章第2.2.3（1）规定的评审因素和分值对营业执照、注册资本、企业信誉、项目经验、院线合作协议、运营方案、拟派服务团队计算出得分A；</w:t>
      </w:r>
    </w:p>
    <w:p>
      <w:pPr>
        <w:spacing w:line="400" w:lineRule="exact"/>
        <w:ind w:firstLine="718" w:firstLineChars="342"/>
      </w:pPr>
      <w:r>
        <w:rPr>
          <w:rFonts w:hint="eastAsia"/>
        </w:rPr>
        <w:t>（2）按本章第2.2.3（2）规定的评审因素和分值对投标报价计算出得分B；</w:t>
      </w:r>
    </w:p>
    <w:p>
      <w:pPr>
        <w:spacing w:line="400" w:lineRule="exact"/>
        <w:ind w:firstLine="420" w:firstLineChars="200"/>
      </w:pPr>
      <w:r>
        <w:rPr>
          <w:rFonts w:hint="eastAsia"/>
        </w:rPr>
        <w:t>3.2.2 评分分值计算保留小数点后两位，小数点后第三位“四舍五入”。</w:t>
      </w:r>
    </w:p>
    <w:p>
      <w:pPr>
        <w:spacing w:line="400" w:lineRule="exact"/>
        <w:ind w:firstLine="420" w:firstLineChars="200"/>
      </w:pPr>
      <w:r>
        <w:rPr>
          <w:rFonts w:hint="eastAsia"/>
        </w:rPr>
        <w:t>3.2.3 投标人得分=A+B。</w:t>
      </w:r>
    </w:p>
    <w:p>
      <w:pPr>
        <w:pStyle w:val="6"/>
      </w:pPr>
      <w:bookmarkStart w:id="582" w:name="_Toc144974575"/>
      <w:bookmarkStart w:id="583" w:name="_Toc152042385"/>
      <w:bookmarkStart w:id="584" w:name="_Toc5633"/>
      <w:bookmarkStart w:id="585" w:name="_Toc28261"/>
      <w:bookmarkStart w:id="586" w:name="_Toc247085765"/>
      <w:bookmarkStart w:id="587" w:name="_Toc246996250"/>
      <w:bookmarkStart w:id="588" w:name="_Toc246996993"/>
      <w:bookmarkStart w:id="589" w:name="_Toc179632625"/>
      <w:bookmarkStart w:id="590" w:name="_Toc152045607"/>
      <w:r>
        <w:rPr>
          <w:rFonts w:hint="eastAsia"/>
        </w:rPr>
        <w:t>3.3 投标文件的澄清</w:t>
      </w:r>
      <w:bookmarkEnd w:id="582"/>
      <w:r>
        <w:rPr>
          <w:rFonts w:hint="eastAsia"/>
        </w:rPr>
        <w:t>和补正</w:t>
      </w:r>
      <w:bookmarkEnd w:id="583"/>
      <w:bookmarkEnd w:id="584"/>
      <w:bookmarkEnd w:id="585"/>
      <w:bookmarkEnd w:id="586"/>
      <w:bookmarkEnd w:id="587"/>
      <w:bookmarkEnd w:id="588"/>
      <w:bookmarkEnd w:id="589"/>
      <w:bookmarkEnd w:id="590"/>
    </w:p>
    <w:p>
      <w:pPr>
        <w:spacing w:line="400" w:lineRule="exact"/>
        <w:ind w:firstLine="420" w:firstLineChars="200"/>
      </w:pPr>
      <w:r>
        <w:rPr>
          <w:rFonts w:hint="eastAsia"/>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pPr>
      <w:r>
        <w:rPr>
          <w:rFonts w:hint="eastAsia"/>
        </w:rPr>
        <w:t>3.3.2 澄清、说明和补正不得改变投标文件的实质性内容。投标人的书面澄清、说明和补正属于投标文件的组成部分。</w:t>
      </w:r>
    </w:p>
    <w:p>
      <w:pPr>
        <w:spacing w:line="400" w:lineRule="exact"/>
        <w:ind w:firstLine="420" w:firstLineChars="200"/>
      </w:pPr>
      <w:r>
        <w:rPr>
          <w:rFonts w:hint="eastAsia"/>
        </w:rPr>
        <w:t>3.3.3 评标委员会对投标人提交的澄清、说明或补正有疑问的，可以要求投标人进一步澄清、说明或补正，直至满足评标委员会的要求。</w:t>
      </w:r>
    </w:p>
    <w:p>
      <w:pPr>
        <w:pStyle w:val="6"/>
      </w:pPr>
      <w:bookmarkStart w:id="591" w:name="_Toc246996251"/>
      <w:bookmarkStart w:id="592" w:name="_Toc152042386"/>
      <w:bookmarkStart w:id="593" w:name="_Toc6924"/>
      <w:bookmarkStart w:id="594" w:name="_Toc179632626"/>
      <w:bookmarkStart w:id="595" w:name="_Toc26522"/>
      <w:bookmarkStart w:id="596" w:name="_Toc144974576"/>
      <w:bookmarkStart w:id="597" w:name="_Toc246996994"/>
      <w:bookmarkStart w:id="598" w:name="_Toc247085766"/>
      <w:bookmarkStart w:id="599" w:name="_Toc152045608"/>
      <w:r>
        <w:rPr>
          <w:rFonts w:hint="eastAsia"/>
        </w:rPr>
        <w:t>3.4 评标结果</w:t>
      </w:r>
      <w:bookmarkEnd w:id="591"/>
      <w:bookmarkEnd w:id="592"/>
      <w:bookmarkEnd w:id="593"/>
      <w:bookmarkEnd w:id="594"/>
      <w:bookmarkEnd w:id="595"/>
      <w:bookmarkEnd w:id="596"/>
      <w:bookmarkEnd w:id="597"/>
      <w:bookmarkEnd w:id="598"/>
      <w:bookmarkEnd w:id="599"/>
    </w:p>
    <w:p>
      <w:pPr>
        <w:spacing w:line="400" w:lineRule="exact"/>
        <w:ind w:firstLine="420" w:firstLineChars="200"/>
      </w:pPr>
      <w:r>
        <w:rPr>
          <w:rFonts w:hint="eastAsia"/>
        </w:rPr>
        <w:t>3.4.1 评标委员会按照得分由高到低的顺序推荐中标候选人。</w:t>
      </w:r>
    </w:p>
    <w:p>
      <w:pPr>
        <w:spacing w:line="400" w:lineRule="exact"/>
        <w:ind w:firstLine="420" w:firstLineChars="200"/>
      </w:pPr>
      <w:r>
        <w:rPr>
          <w:rFonts w:hint="eastAsia"/>
        </w:rPr>
        <w:t>3.4.2 评标委员会完成评标后，应当向招标人提交书面评标报告。</w:t>
      </w:r>
    </w:p>
    <w:p>
      <w:pPr>
        <w:tabs>
          <w:tab w:val="center" w:pos="4153"/>
        </w:tabs>
        <w:spacing w:before="312" w:beforeLines="100" w:after="312" w:afterLines="100" w:line="480" w:lineRule="auto"/>
        <w:rPr>
          <w:rFonts w:ascii="宋体" w:hAnsi="宋体" w:cs="宋体"/>
          <w:sz w:val="44"/>
          <w:szCs w:val="44"/>
        </w:rPr>
      </w:pPr>
      <w:r>
        <w:rPr>
          <w:rFonts w:ascii="楷体_GB2312" w:hAnsi="宋体" w:eastAsia="楷体_GB2312"/>
          <w:szCs w:val="21"/>
        </w:rPr>
        <w:br w:type="page"/>
      </w:r>
    </w:p>
    <w:p>
      <w:bookmarkStart w:id="600" w:name="_Toc179632627"/>
      <w:bookmarkStart w:id="601" w:name="_Toc152045609"/>
      <w:bookmarkStart w:id="602" w:name="_Toc246996995"/>
      <w:bookmarkStart w:id="603" w:name="_Toc28614_WPSOffice_Level1"/>
      <w:bookmarkStart w:id="604" w:name="_Toc246996252"/>
      <w:bookmarkStart w:id="605" w:name="_Toc152042387"/>
      <w:bookmarkStart w:id="606" w:name="_Toc5524"/>
      <w:bookmarkStart w:id="607" w:name="_Toc9494_WPSOffice_Level1"/>
      <w:bookmarkStart w:id="608" w:name="_Toc144974577"/>
      <w:bookmarkStart w:id="609" w:name="_Toc247085767"/>
    </w:p>
    <w:bookmarkEnd w:id="600"/>
    <w:bookmarkEnd w:id="601"/>
    <w:bookmarkEnd w:id="602"/>
    <w:bookmarkEnd w:id="603"/>
    <w:bookmarkEnd w:id="604"/>
    <w:bookmarkEnd w:id="605"/>
    <w:bookmarkEnd w:id="606"/>
    <w:bookmarkEnd w:id="607"/>
    <w:bookmarkEnd w:id="608"/>
    <w:bookmarkEnd w:id="609"/>
    <w:p>
      <w:bookmarkStart w:id="610" w:name="_Toc179632804"/>
      <w:bookmarkStart w:id="611" w:name="_Toc247085870"/>
      <w:bookmarkStart w:id="612" w:name="_Toc7574"/>
      <w:bookmarkStart w:id="613" w:name="_Toc2582"/>
      <w:bookmarkStart w:id="614" w:name="_Toc26091"/>
      <w:bookmarkStart w:id="615" w:name="_Toc152045785"/>
      <w:bookmarkStart w:id="616" w:name="_Toc18767"/>
      <w:bookmarkStart w:id="617" w:name="_Toc246997096"/>
      <w:bookmarkStart w:id="618" w:name="_Toc818"/>
      <w:bookmarkStart w:id="619" w:name="_Toc144974854"/>
      <w:bookmarkStart w:id="620" w:name="_Toc25085"/>
      <w:bookmarkStart w:id="621" w:name="_Toc3605"/>
      <w:bookmarkStart w:id="622" w:name="_Toc152042574"/>
      <w:bookmarkStart w:id="623" w:name="_Toc246996353"/>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Pr>
        <w:pStyle w:val="4"/>
        <w:jc w:val="center"/>
      </w:pPr>
      <w:bookmarkStart w:id="624" w:name="_Toc247085872"/>
      <w:bookmarkStart w:id="625" w:name="_Toc179632806"/>
      <w:bookmarkStart w:id="626" w:name="_Toc26718"/>
      <w:bookmarkStart w:id="627" w:name="_Toc152042575"/>
      <w:bookmarkStart w:id="628" w:name="_Toc4900"/>
      <w:bookmarkStart w:id="629" w:name="_Toc1846"/>
      <w:bookmarkStart w:id="630" w:name="_Toc144974855"/>
      <w:bookmarkStart w:id="631" w:name="_Toc3100_WPSOffice_Level1"/>
      <w:bookmarkStart w:id="632" w:name="_Toc14131"/>
      <w:bookmarkStart w:id="633" w:name="_Toc7316"/>
      <w:bookmarkStart w:id="634" w:name="_Toc24995"/>
      <w:bookmarkStart w:id="635" w:name="_Toc22863"/>
      <w:bookmarkStart w:id="636" w:name="_Toc152045786"/>
      <w:bookmarkStart w:id="637" w:name="_Toc246996354"/>
      <w:bookmarkStart w:id="638" w:name="_Toc4957"/>
      <w:bookmarkStart w:id="639" w:name="_Toc12703"/>
      <w:bookmarkStart w:id="640" w:name="_Toc14286_WPSOffice_Level1"/>
      <w:bookmarkStart w:id="641" w:name="_Toc246997097"/>
      <w:r>
        <w:rPr>
          <w:rFonts w:hint="eastAsia"/>
        </w:rPr>
        <w:t>第四章投标文件格式</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rPr>
          <w:rFonts w:eastAsia="黑体"/>
          <w:sz w:val="20"/>
          <w:szCs w:val="20"/>
        </w:rPr>
      </w:pPr>
      <w:r>
        <w:rPr>
          <w:rFonts w:eastAsia="黑体"/>
          <w:sz w:val="20"/>
          <w:szCs w:val="20"/>
        </w:rPr>
        <w:br w:type="page"/>
      </w:r>
    </w:p>
    <w:p>
      <w:pPr>
        <w:pStyle w:val="2"/>
        <w:ind w:firstLine="420"/>
        <w:rPr>
          <w:rFonts w:hint="default"/>
        </w:rPr>
      </w:pPr>
    </w:p>
    <w:p>
      <w:pPr>
        <w:jc w:val="center"/>
        <w:rPr>
          <w:rFonts w:eastAsia="黑体"/>
          <w:sz w:val="20"/>
          <w:szCs w:val="20"/>
        </w:rPr>
      </w:pPr>
      <w:r>
        <w:rPr>
          <w:rFonts w:eastAsia="黑体"/>
          <w:sz w:val="28"/>
          <w:szCs w:val="28"/>
        </w:rPr>
        <w:t>（</w:t>
      </w:r>
      <w:r>
        <w:rPr>
          <w:rFonts w:hint="eastAsia" w:eastAsia="黑体"/>
          <w:sz w:val="28"/>
          <w:szCs w:val="28"/>
        </w:rPr>
        <w:t>景州文体中心电影场馆委托运营服务项目</w:t>
      </w:r>
      <w:r>
        <w:rPr>
          <w:rFonts w:eastAsia="黑体"/>
          <w:sz w:val="28"/>
          <w:szCs w:val="28"/>
        </w:rPr>
        <w:t>）</w:t>
      </w:r>
    </w:p>
    <w:p>
      <w:pPr>
        <w:jc w:val="cente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投标文件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r>
        <w:rPr>
          <w:rFonts w:eastAsia="黑体"/>
          <w:sz w:val="28"/>
          <w:szCs w:val="28"/>
        </w:rPr>
        <w:t>投标人：（盖单位章）</w:t>
      </w:r>
    </w:p>
    <w:p>
      <w:pPr>
        <w:pStyle w:val="2"/>
        <w:ind w:firstLine="420"/>
        <w:jc w:val="center"/>
        <w:rPr>
          <w:rFonts w:hint="default"/>
        </w:rPr>
      </w:pPr>
    </w:p>
    <w:p>
      <w:pPr>
        <w:jc w:val="center"/>
        <w:rPr>
          <w:rFonts w:eastAsia="黑体"/>
          <w:sz w:val="28"/>
          <w:szCs w:val="28"/>
        </w:rPr>
      </w:pPr>
      <w:r>
        <w:rPr>
          <w:rFonts w:eastAsia="黑体"/>
          <w:sz w:val="28"/>
          <w:szCs w:val="28"/>
        </w:rPr>
        <w:t>法定代表人：（</w:t>
      </w:r>
      <w:r>
        <w:rPr>
          <w:rFonts w:hint="eastAsia" w:eastAsia="黑体"/>
          <w:sz w:val="28"/>
          <w:szCs w:val="28"/>
        </w:rPr>
        <w:t>盖章</w:t>
      </w:r>
      <w:r>
        <w:rPr>
          <w:rFonts w:eastAsia="黑体"/>
          <w:sz w:val="28"/>
          <w:szCs w:val="28"/>
        </w:rPr>
        <w:t>）</w:t>
      </w:r>
    </w:p>
    <w:p>
      <w:pPr>
        <w:pStyle w:val="2"/>
        <w:ind w:firstLine="420"/>
        <w:jc w:val="center"/>
        <w:rPr>
          <w:rFonts w:hint="default"/>
        </w:rPr>
      </w:pPr>
    </w:p>
    <w:p>
      <w:pPr>
        <w:jc w:val="center"/>
        <w:rPr>
          <w:rFonts w:eastAsia="黑体"/>
          <w:sz w:val="28"/>
          <w:szCs w:val="28"/>
        </w:rPr>
      </w:pPr>
      <w:r>
        <w:rPr>
          <w:rFonts w:hint="eastAsia" w:asciiTheme="minorEastAsia" w:hAnsiTheme="minorEastAsia" w:cstheme="minorEastAsia"/>
          <w:sz w:val="24"/>
        </w:rPr>
        <w:t>＿</w:t>
      </w:r>
      <w:r>
        <w:rPr>
          <w:rFonts w:eastAsia="黑体"/>
          <w:sz w:val="28"/>
          <w:szCs w:val="28"/>
        </w:rPr>
        <w:t>年</w:t>
      </w:r>
      <w:r>
        <w:rPr>
          <w:rFonts w:hint="eastAsia" w:asciiTheme="minorEastAsia" w:hAnsiTheme="minorEastAsia" w:cstheme="minorEastAsia"/>
          <w:sz w:val="24"/>
        </w:rPr>
        <w:t>＿</w:t>
      </w:r>
      <w:r>
        <w:rPr>
          <w:rFonts w:eastAsia="黑体"/>
          <w:sz w:val="28"/>
          <w:szCs w:val="28"/>
        </w:rPr>
        <w:t>月</w:t>
      </w:r>
      <w:r>
        <w:rPr>
          <w:rFonts w:hint="eastAsia" w:asciiTheme="minorEastAsia" w:hAnsiTheme="minorEastAsia" w:cstheme="minorEastAsia"/>
          <w:sz w:val="24"/>
        </w:rPr>
        <w:t>＿</w:t>
      </w:r>
      <w:r>
        <w:rPr>
          <w:rFonts w:eastAsia="黑体"/>
          <w:sz w:val="28"/>
          <w:szCs w:val="28"/>
        </w:rPr>
        <w:t>日</w:t>
      </w:r>
    </w:p>
    <w:p>
      <w:pPr>
        <w:spacing w:line="440" w:lineRule="exact"/>
        <w:jc w:val="center"/>
        <w:rPr>
          <w:rFonts w:eastAsia="黑体"/>
          <w:sz w:val="20"/>
          <w:szCs w:val="20"/>
        </w:rPr>
      </w:pPr>
      <w:r>
        <w:rPr>
          <w:rFonts w:eastAsia="黑体"/>
          <w:sz w:val="20"/>
          <w:szCs w:val="20"/>
        </w:rPr>
        <w:br w:type="page"/>
      </w:r>
    </w:p>
    <w:p>
      <w:pPr>
        <w:spacing w:line="400" w:lineRule="exact"/>
      </w:pPr>
    </w:p>
    <w:p>
      <w:pPr>
        <w:pStyle w:val="5"/>
        <w:jc w:val="center"/>
      </w:pPr>
      <w:bookmarkStart w:id="642" w:name="_Toc246996355"/>
      <w:bookmarkStart w:id="643" w:name="_Toc144974856"/>
      <w:bookmarkStart w:id="644" w:name="_Toc152042576"/>
      <w:bookmarkStart w:id="645" w:name="_Toc7072"/>
      <w:bookmarkStart w:id="646" w:name="_Toc14630"/>
      <w:bookmarkStart w:id="647" w:name="_Toc30117"/>
      <w:bookmarkStart w:id="648" w:name="_Toc24512"/>
      <w:bookmarkStart w:id="649" w:name="_Toc179632807"/>
      <w:bookmarkStart w:id="650" w:name="_Toc21806"/>
      <w:bookmarkStart w:id="651" w:name="_Toc7815"/>
      <w:bookmarkStart w:id="652" w:name="_Toc246997098"/>
      <w:bookmarkStart w:id="653" w:name="_Toc3615"/>
      <w:bookmarkStart w:id="654" w:name="_Toc247085873"/>
      <w:bookmarkStart w:id="655" w:name="_Toc152045787"/>
      <w:r>
        <w:rPr>
          <w:rFonts w:hint="eastAsia"/>
        </w:rPr>
        <w:t>目录</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spacing w:line="540" w:lineRule="exact"/>
      </w:pPr>
    </w:p>
    <w:p>
      <w:pPr>
        <w:numPr>
          <w:ilvl w:val="0"/>
          <w:numId w:val="7"/>
        </w:numPr>
        <w:spacing w:line="400" w:lineRule="exact"/>
        <w:ind w:firstLine="480" w:firstLineChars="200"/>
        <w:rPr>
          <w:sz w:val="24"/>
          <w:szCs w:val="32"/>
        </w:rPr>
      </w:pPr>
      <w:r>
        <w:rPr>
          <w:rFonts w:hint="eastAsia"/>
          <w:sz w:val="24"/>
          <w:szCs w:val="32"/>
        </w:rPr>
        <w:t>投标函</w:t>
      </w:r>
    </w:p>
    <w:p>
      <w:pPr>
        <w:numPr>
          <w:ilvl w:val="0"/>
          <w:numId w:val="7"/>
        </w:numPr>
        <w:spacing w:line="400" w:lineRule="exact"/>
        <w:ind w:firstLine="480" w:firstLineChars="200"/>
        <w:rPr>
          <w:sz w:val="24"/>
          <w:szCs w:val="32"/>
        </w:rPr>
      </w:pPr>
      <w:r>
        <w:rPr>
          <w:rFonts w:hint="eastAsia"/>
          <w:sz w:val="24"/>
          <w:szCs w:val="32"/>
        </w:rPr>
        <w:t>授权委托书</w:t>
      </w:r>
    </w:p>
    <w:p>
      <w:pPr>
        <w:numPr>
          <w:ilvl w:val="0"/>
          <w:numId w:val="7"/>
        </w:numPr>
        <w:spacing w:line="400" w:lineRule="exact"/>
        <w:ind w:firstLine="480" w:firstLineChars="200"/>
        <w:rPr>
          <w:sz w:val="24"/>
          <w:szCs w:val="32"/>
        </w:rPr>
      </w:pPr>
      <w:r>
        <w:rPr>
          <w:rFonts w:hint="eastAsia"/>
          <w:sz w:val="24"/>
          <w:szCs w:val="32"/>
        </w:rPr>
        <w:t>投标保证金</w:t>
      </w:r>
    </w:p>
    <w:p>
      <w:pPr>
        <w:numPr>
          <w:ilvl w:val="0"/>
          <w:numId w:val="7"/>
        </w:numPr>
        <w:spacing w:line="400" w:lineRule="exact"/>
        <w:ind w:firstLine="480" w:firstLineChars="200"/>
        <w:rPr>
          <w:sz w:val="24"/>
          <w:szCs w:val="32"/>
        </w:rPr>
      </w:pPr>
      <w:r>
        <w:rPr>
          <w:rFonts w:hint="eastAsia"/>
          <w:sz w:val="24"/>
          <w:szCs w:val="32"/>
        </w:rPr>
        <w:t>资格审查资料</w:t>
      </w:r>
    </w:p>
    <w:p>
      <w:pPr>
        <w:numPr>
          <w:ilvl w:val="0"/>
          <w:numId w:val="7"/>
        </w:numPr>
        <w:spacing w:line="400" w:lineRule="exact"/>
        <w:ind w:firstLine="480" w:firstLineChars="200"/>
        <w:rPr>
          <w:sz w:val="24"/>
          <w:szCs w:val="32"/>
        </w:rPr>
      </w:pPr>
      <w:r>
        <w:rPr>
          <w:rFonts w:hint="eastAsia"/>
          <w:sz w:val="24"/>
          <w:szCs w:val="32"/>
        </w:rPr>
        <w:t>运营方案</w:t>
      </w:r>
    </w:p>
    <w:p>
      <w:pPr>
        <w:numPr>
          <w:ilvl w:val="0"/>
          <w:numId w:val="7"/>
        </w:numPr>
        <w:spacing w:line="400" w:lineRule="exact"/>
        <w:ind w:firstLine="480" w:firstLineChars="200"/>
        <w:rPr>
          <w:sz w:val="24"/>
          <w:szCs w:val="32"/>
        </w:rPr>
      </w:pPr>
      <w:r>
        <w:rPr>
          <w:rFonts w:hint="eastAsia"/>
          <w:sz w:val="24"/>
          <w:szCs w:val="32"/>
        </w:rPr>
        <w:t>拟派服务团队人员情况</w:t>
      </w:r>
    </w:p>
    <w:p>
      <w:pPr>
        <w:spacing w:line="540" w:lineRule="exact"/>
        <w:rPr>
          <w:rFonts w:eastAsia="黑体"/>
          <w:sz w:val="20"/>
          <w:szCs w:val="20"/>
        </w:rPr>
      </w:pPr>
      <w:r>
        <w:br w:type="page"/>
      </w:r>
    </w:p>
    <w:p>
      <w:pPr>
        <w:pStyle w:val="5"/>
        <w:jc w:val="center"/>
      </w:pPr>
      <w:bookmarkStart w:id="656" w:name="_Toc246996356"/>
      <w:bookmarkStart w:id="657" w:name="_Toc8151"/>
      <w:bookmarkStart w:id="658" w:name="_Toc327"/>
      <w:bookmarkStart w:id="659" w:name="_Toc247085874"/>
      <w:bookmarkStart w:id="660" w:name="_Toc19735"/>
      <w:bookmarkStart w:id="661" w:name="_Toc179632808"/>
      <w:bookmarkStart w:id="662" w:name="_Toc18036"/>
      <w:bookmarkStart w:id="663" w:name="_Toc144974857"/>
      <w:bookmarkStart w:id="664" w:name="_Toc25594"/>
      <w:bookmarkStart w:id="665" w:name="_Toc246997099"/>
      <w:bookmarkStart w:id="666" w:name="_Toc152045788"/>
      <w:bookmarkStart w:id="667" w:name="_Toc25196"/>
      <w:bookmarkStart w:id="668" w:name="_Toc152042577"/>
      <w:bookmarkStart w:id="669" w:name="_Toc9136"/>
      <w:r>
        <w:t>一、投标函</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spacing w:line="440" w:lineRule="exact"/>
        <w:rPr>
          <w:szCs w:val="21"/>
          <w:u w:val="single"/>
        </w:rPr>
      </w:pPr>
    </w:p>
    <w:p>
      <w:pPr>
        <w:spacing w:line="440" w:lineRule="exact"/>
        <w:rPr>
          <w:rFonts w:asciiTheme="minorEastAsia" w:hAnsiTheme="minorEastAsia" w:cstheme="minorEastAsia"/>
          <w:sz w:val="24"/>
        </w:rPr>
      </w:pPr>
      <w:r>
        <w:rPr>
          <w:rFonts w:hint="eastAsia" w:asciiTheme="minorEastAsia" w:hAnsiTheme="minorEastAsia" w:cstheme="minorEastAsia"/>
          <w:sz w:val="24"/>
        </w:rPr>
        <w:t>（招标人名称）：</w:t>
      </w:r>
    </w:p>
    <w:p>
      <w:pPr>
        <w:spacing w:line="440" w:lineRule="exact"/>
        <w:rPr>
          <w:rFonts w:asciiTheme="minorEastAsia" w:hAnsiTheme="minorEastAsia" w:cstheme="minorEastAsia"/>
          <w:sz w:val="24"/>
        </w:rPr>
      </w:pPr>
    </w:p>
    <w:p>
      <w:pPr>
        <w:pStyle w:val="83"/>
        <w:numPr>
          <w:ilvl w:val="0"/>
          <w:numId w:val="8"/>
        </w:numPr>
        <w:spacing w:line="440" w:lineRule="exact"/>
        <w:ind w:firstLine="480"/>
        <w:rPr>
          <w:rFonts w:asciiTheme="minorEastAsia" w:hAnsiTheme="minorEastAsia" w:cstheme="minorEastAsia"/>
          <w:sz w:val="24"/>
        </w:rPr>
      </w:pPr>
      <w:r>
        <w:rPr>
          <w:rFonts w:hint="eastAsia" w:asciiTheme="minorEastAsia" w:hAnsiTheme="minorEastAsia" w:cstheme="minorEastAsia"/>
          <w:sz w:val="24"/>
        </w:rPr>
        <w:t>我方已仔细研究了（景州文体中心电影场馆委托运营服务项目）招标文件的全部内容，愿意以：</w:t>
      </w:r>
    </w:p>
    <w:p>
      <w:pPr>
        <w:pStyle w:val="83"/>
        <w:spacing w:line="440" w:lineRule="exact"/>
        <w:ind w:firstLine="720" w:firstLineChars="300"/>
        <w:rPr>
          <w:rFonts w:asciiTheme="minorEastAsia" w:hAnsiTheme="minorEastAsia" w:cstheme="minorEastAsia"/>
          <w:sz w:val="24"/>
        </w:rPr>
      </w:pPr>
      <w:r>
        <w:rPr>
          <w:rFonts w:hint="eastAsia" w:asciiTheme="minorEastAsia" w:hAnsiTheme="minorEastAsia" w:cstheme="minorEastAsia"/>
          <w:sz w:val="24"/>
        </w:rPr>
        <w:t>①年租金（不含物业费）人民币（大写）</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万元（以第一年租金为准）；</w:t>
      </w:r>
    </w:p>
    <w:p>
      <w:pPr>
        <w:pStyle w:val="83"/>
        <w:spacing w:line="440" w:lineRule="exact"/>
        <w:ind w:firstLine="720" w:firstLineChars="300"/>
        <w:rPr>
          <w:rFonts w:asciiTheme="minorEastAsia" w:hAnsiTheme="minorEastAsia" w:cstheme="minorEastAsia"/>
          <w:sz w:val="24"/>
        </w:rPr>
      </w:pPr>
      <w:r>
        <w:rPr>
          <w:rFonts w:hint="eastAsia" w:asciiTheme="minorEastAsia" w:hAnsiTheme="minorEastAsia" w:cstheme="minorEastAsia"/>
          <w:sz w:val="24"/>
        </w:rPr>
        <w:t>②租金每三年上浮5%；</w:t>
      </w:r>
    </w:p>
    <w:p>
      <w:pPr>
        <w:pStyle w:val="83"/>
        <w:spacing w:line="440" w:lineRule="exact"/>
        <w:ind w:firstLine="720" w:firstLineChars="300"/>
        <w:rPr>
          <w:rFonts w:asciiTheme="minorEastAsia" w:hAnsiTheme="minorEastAsia" w:cstheme="minorEastAsia"/>
          <w:sz w:val="24"/>
        </w:rPr>
      </w:pPr>
      <w:r>
        <w:rPr>
          <w:rFonts w:hint="eastAsia" w:asciiTheme="minorEastAsia" w:hAnsiTheme="minorEastAsia" w:cstheme="minorEastAsia"/>
          <w:sz w:val="24"/>
        </w:rPr>
        <w:t>③人民币（大写）</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万元的投标总报价（不含物业费）</w:t>
      </w:r>
    </w:p>
    <w:p>
      <w:pPr>
        <w:spacing w:line="440" w:lineRule="exact"/>
        <w:ind w:firstLine="720" w:firstLineChars="300"/>
        <w:rPr>
          <w:rFonts w:asciiTheme="minorEastAsia" w:hAnsiTheme="minorEastAsia" w:cstheme="minorEastAsia"/>
          <w:sz w:val="24"/>
        </w:rPr>
      </w:pPr>
      <w:r>
        <w:rPr>
          <w:rFonts w:hint="eastAsia" w:asciiTheme="minorEastAsia" w:hAnsiTheme="minorEastAsia" w:cstheme="minorEastAsia"/>
          <w:sz w:val="24"/>
        </w:rPr>
        <w:t>承包景州文体中心影院委托运营服务项目。</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2．我方承诺在招标文件规定的投标有效期内不修改、撤销投标文件。</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3．随同本投标函提交投标保证金一份，金额为人民币（大写）</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万元。</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4．如我方中标：</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（1）我方承诺在收到中标通知书后，在中标通知书规定的期限内与你方签订合同。</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（2）我方承诺在合同约定的期限内完成装修并开始运营。</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5．</w:t>
      </w:r>
      <w:r>
        <w:rPr>
          <w:rFonts w:hint="eastAsia" w:asciiTheme="minorEastAsia" w:hAnsiTheme="minorEastAsia" w:cstheme="minorEastAsia"/>
          <w:sz w:val="24"/>
          <w:szCs w:val="32"/>
        </w:rPr>
        <w:t>我方在此声明，所递交的投标文件及有关资料内容完整、真实和准确。</w:t>
      </w:r>
    </w:p>
    <w:p>
      <w:pPr>
        <w:spacing w:line="440" w:lineRule="exact"/>
        <w:ind w:firstLine="480" w:firstLineChars="200"/>
        <w:rPr>
          <w:rFonts w:asciiTheme="minorEastAsia" w:hAnsiTheme="minorEastAsia" w:cstheme="minorEastAsia"/>
          <w:sz w:val="24"/>
        </w:rPr>
      </w:pP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投 标 人：</w:t>
      </w: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法定代表人或其委托代理人：</w:t>
      </w: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地址：</w:t>
      </w: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电话：</w:t>
      </w: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传真：</w:t>
      </w: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邮政编码：</w:t>
      </w: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年    月      日</w:t>
      </w:r>
    </w:p>
    <w:p>
      <w:pPr>
        <w:spacing w:line="440" w:lineRule="exact"/>
        <w:rPr>
          <w:rFonts w:asciiTheme="minorEastAsia" w:hAnsiTheme="minorEastAsia" w:cstheme="minorEastAsia"/>
          <w:sz w:val="24"/>
        </w:rPr>
      </w:pPr>
      <w:r>
        <w:rPr>
          <w:rFonts w:hint="eastAsia" w:asciiTheme="minorEastAsia" w:hAnsiTheme="minorEastAsia" w:cstheme="minorEastAsia"/>
          <w:sz w:val="24"/>
        </w:rPr>
        <w:br w:type="page"/>
      </w:r>
    </w:p>
    <w:p>
      <w:pPr>
        <w:spacing w:line="440" w:lineRule="exact"/>
        <w:rPr>
          <w:rFonts w:eastAsia="黑体"/>
          <w:szCs w:val="21"/>
        </w:rPr>
      </w:pPr>
    </w:p>
    <w:p>
      <w:pPr>
        <w:pStyle w:val="5"/>
        <w:jc w:val="center"/>
      </w:pPr>
      <w:bookmarkStart w:id="670" w:name="_Toc144974861"/>
      <w:bookmarkStart w:id="671" w:name="_Toc30925"/>
      <w:bookmarkStart w:id="672" w:name="_Toc7848"/>
      <w:bookmarkStart w:id="673" w:name="_Toc6870"/>
      <w:bookmarkStart w:id="674" w:name="_Toc10988"/>
      <w:bookmarkStart w:id="675" w:name="_Toc247085878"/>
      <w:bookmarkStart w:id="676" w:name="_Toc246997103"/>
      <w:bookmarkStart w:id="677" w:name="_Toc9601"/>
      <w:bookmarkStart w:id="678" w:name="_Toc28143"/>
      <w:bookmarkStart w:id="679" w:name="_Toc22289"/>
      <w:bookmarkStart w:id="680" w:name="_Toc152042581"/>
      <w:bookmarkStart w:id="681" w:name="_Toc152045792"/>
      <w:bookmarkStart w:id="682" w:name="_Toc179632812"/>
      <w:bookmarkStart w:id="683" w:name="_Toc246996360"/>
      <w:r>
        <w:t>二、授权委托书</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spacing w:line="440" w:lineRule="exact"/>
        <w:rPr>
          <w:rFonts w:eastAsia="黑体"/>
          <w:szCs w:val="21"/>
        </w:rPr>
      </w:pPr>
    </w:p>
    <w:p>
      <w:pPr>
        <w:snapToGrid w:val="0"/>
        <w:spacing w:before="100" w:beforeAutospacing="1" w:after="100" w:afterAutospacing="1"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本人(姓名)</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系(申请人名称)</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的法定代表人，兹委托</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参加贵单位组织的项目招标活动，全权代表我方处理申请过程中的全部事宜。</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附全权代表情况：</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姓名：</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性别：</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年龄：</w:t>
      </w:r>
      <w:r>
        <w:rPr>
          <w:rFonts w:hint="eastAsia" w:asciiTheme="minorEastAsia" w:hAnsiTheme="minorEastAsia" w:cstheme="minorEastAsia"/>
          <w:sz w:val="24"/>
          <w:u w:val="single"/>
        </w:rPr>
        <w:t xml:space="preserve">        </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工作单位：</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职务：</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身份证号码：</w:t>
      </w:r>
    </w:p>
    <w:p>
      <w:pPr>
        <w:snapToGrid w:val="0"/>
        <w:spacing w:before="100" w:beforeAutospacing="1" w:after="100" w:afterAutospacing="1" w:line="280" w:lineRule="exact"/>
        <w:rPr>
          <w:rFonts w:asciiTheme="minorEastAsia" w:hAnsiTheme="minorEastAsia" w:cstheme="minorEastAsia"/>
          <w:sz w:val="24"/>
        </w:rPr>
      </w:pP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委托人：（盖单位章）</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法定代表人：（签字或盖章）</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授权委托人：（签字） </w:t>
      </w:r>
    </w:p>
    <w:p>
      <w:pPr>
        <w:snapToGrid w:val="0"/>
        <w:spacing w:before="100" w:beforeAutospacing="1" w:after="100" w:afterAutospacing="1" w:line="280" w:lineRule="exact"/>
        <w:ind w:firstLine="480" w:firstLineChars="200"/>
        <w:rPr>
          <w:rFonts w:asciiTheme="minorEastAsia" w:hAnsiTheme="minorEastAsia" w:cstheme="minorEastAsia"/>
          <w:sz w:val="24"/>
          <w:u w:val="single"/>
        </w:rPr>
      </w:pPr>
    </w:p>
    <w:p>
      <w:pPr>
        <w:snapToGrid w:val="0"/>
        <w:spacing w:before="100" w:beforeAutospacing="1" w:after="100" w:afterAutospacing="1" w:line="280" w:lineRule="exact"/>
        <w:ind w:firstLine="480" w:firstLineChars="200"/>
        <w:jc w:val="center"/>
        <w:rPr>
          <w:rFonts w:asciiTheme="minorEastAsia" w:hAnsiTheme="minorEastAsia" w:cstheme="minorEastAsia"/>
          <w:sz w:val="24"/>
        </w:rPr>
      </w:pPr>
      <w:r>
        <w:rPr>
          <w:rFonts w:hint="eastAsia" w:asciiTheme="minorEastAsia" w:hAnsiTheme="minorEastAsia" w:cstheme="minorEastAsia"/>
          <w:sz w:val="24"/>
        </w:rPr>
        <w:t>＿年＿月＿日</w:t>
      </w:r>
    </w:p>
    <w:p>
      <w:pPr>
        <w:snapToGrid w:val="0"/>
        <w:spacing w:before="100" w:beforeAutospacing="1" w:after="100" w:afterAutospacing="1" w:line="280" w:lineRule="exact"/>
        <w:ind w:firstLine="480" w:firstLineChars="200"/>
        <w:rPr>
          <w:rFonts w:asciiTheme="minorEastAsia" w:hAnsiTheme="minorEastAsia" w:cstheme="minorEastAsia"/>
          <w:sz w:val="24"/>
        </w:rPr>
      </w:pPr>
    </w:p>
    <w:p>
      <w:pPr>
        <w:snapToGrid w:val="0"/>
        <w:spacing w:before="100" w:beforeAutospacing="1" w:after="100" w:afterAutospacing="1" w:line="280" w:lineRule="exact"/>
        <w:ind w:firstLine="2640" w:firstLineChars="1100"/>
        <w:rPr>
          <w:rFonts w:asciiTheme="minorEastAsia" w:hAnsiTheme="minorEastAsia" w:cstheme="minorEastAsia"/>
          <w:sz w:val="24"/>
        </w:rPr>
      </w:pPr>
      <w:r>
        <w:rPr>
          <w:rFonts w:hint="eastAsia" w:asciiTheme="minorEastAsia" w:hAnsiTheme="minorEastAsia" w:cstheme="minorEastAsia"/>
          <w:sz w:val="24"/>
        </w:rPr>
        <w:t>本授权书委托期限为＿年＿月＿日至＿年＿月＿日止</w:t>
      </w:r>
    </w:p>
    <w:p>
      <w:pPr>
        <w:rPr>
          <w:rFonts w:asciiTheme="minorEastAsia" w:hAnsiTheme="minorEastAsia" w:cstheme="minorEastAsia"/>
          <w:vanish/>
          <w:sz w:val="24"/>
        </w:rPr>
      </w:pPr>
    </w:p>
    <w:p>
      <w:pPr>
        <w:jc w:val="center"/>
        <w:rPr>
          <w:rFonts w:asciiTheme="minorEastAsia" w:hAnsiTheme="minorEastAsia" w:cstheme="minorEastAsia"/>
          <w:b/>
          <w:sz w:val="24"/>
        </w:rPr>
      </w:pPr>
    </w:p>
    <w:tbl>
      <w:tblPr>
        <w:tblStyle w:val="19"/>
        <w:tblpPr w:leftFromText="180" w:rightFromText="180" w:vertAnchor="text" w:horzAnchor="page" w:tblpX="4153" w:tblpY="-79"/>
        <w:tblW w:w="4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4258" w:type="dxa"/>
            <w:vAlign w:val="center"/>
          </w:tcPr>
          <w:p>
            <w:pPr>
              <w:spacing w:before="100" w:beforeAutospacing="1" w:after="100" w:afterAutospacing="1" w:line="360" w:lineRule="auto"/>
              <w:jc w:val="center"/>
              <w:rPr>
                <w:rFonts w:asciiTheme="minorEastAsia" w:hAnsiTheme="minorEastAsia" w:cstheme="minorEastAsia"/>
                <w:b/>
                <w:sz w:val="24"/>
              </w:rPr>
            </w:pPr>
            <w:r>
              <w:rPr>
                <w:rFonts w:hint="eastAsia" w:asciiTheme="minorEastAsia" w:hAnsiTheme="minorEastAsia" w:cstheme="minorEastAsia"/>
                <w:b/>
                <w:sz w:val="24"/>
              </w:rPr>
              <w:t>授权委托人身份证复印件（双面）</w:t>
            </w:r>
          </w:p>
          <w:p>
            <w:pPr>
              <w:spacing w:before="100" w:beforeAutospacing="1" w:after="100" w:afterAutospacing="1" w:line="360" w:lineRule="auto"/>
              <w:jc w:val="center"/>
              <w:rPr>
                <w:rFonts w:asciiTheme="minorEastAsia" w:hAnsiTheme="minorEastAsia" w:cstheme="minorEastAsia"/>
                <w:b/>
                <w:sz w:val="24"/>
              </w:rPr>
            </w:pPr>
          </w:p>
        </w:tc>
      </w:tr>
    </w:tbl>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br w:type="page"/>
      </w:r>
      <w:r>
        <w:rPr>
          <w:rFonts w:hint="eastAsia" w:asciiTheme="minorEastAsia" w:hAnsiTheme="minorEastAsia" w:cstheme="minorEastAsia"/>
          <w:sz w:val="24"/>
        </w:rPr>
        <w:t>附：</w:t>
      </w:r>
    </w:p>
    <w:p>
      <w:pPr>
        <w:jc w:val="center"/>
        <w:rPr>
          <w:rFonts w:asciiTheme="minorEastAsia" w:hAnsiTheme="minorEastAsia" w:cstheme="minorEastAsia"/>
          <w:b/>
          <w:sz w:val="24"/>
        </w:rPr>
      </w:pPr>
      <w:bookmarkStart w:id="684" w:name="_Toc475538533"/>
      <w:bookmarkStart w:id="685" w:name="_Toc437555481"/>
      <w:bookmarkStart w:id="686" w:name="_Toc475539073"/>
      <w:r>
        <w:rPr>
          <w:rFonts w:hint="eastAsia" w:asciiTheme="minorEastAsia" w:hAnsiTheme="minorEastAsia" w:cstheme="minorEastAsia"/>
          <w:b/>
          <w:sz w:val="24"/>
        </w:rPr>
        <w:t>法定代表人身份证明</w:t>
      </w:r>
      <w:bookmarkEnd w:id="684"/>
      <w:bookmarkEnd w:id="685"/>
      <w:bookmarkEnd w:id="686"/>
    </w:p>
    <w:p>
      <w:pPr>
        <w:jc w:val="center"/>
        <w:rPr>
          <w:rFonts w:asciiTheme="minorEastAsia" w:hAnsiTheme="minorEastAsia" w:cstheme="minorEastAsia"/>
          <w:sz w:val="24"/>
        </w:rPr>
      </w:pPr>
    </w:p>
    <w:p>
      <w:pPr>
        <w:tabs>
          <w:tab w:val="left" w:pos="2310"/>
        </w:tabs>
        <w:spacing w:line="560" w:lineRule="exact"/>
        <w:ind w:firstLine="424" w:firstLineChars="177"/>
        <w:rPr>
          <w:rFonts w:asciiTheme="minorEastAsia" w:hAnsiTheme="minorEastAsia" w:cstheme="minorEastAsia"/>
          <w:sz w:val="24"/>
          <w:u w:val="single"/>
        </w:rPr>
      </w:pPr>
      <w:r>
        <w:rPr>
          <w:rFonts w:hint="eastAsia" w:asciiTheme="minorEastAsia" w:hAnsiTheme="minorEastAsia" w:cstheme="minorEastAsia"/>
          <w:sz w:val="24"/>
        </w:rPr>
        <w:t>投标人名称：</w:t>
      </w:r>
    </w:p>
    <w:p>
      <w:pPr>
        <w:tabs>
          <w:tab w:val="left" w:pos="2310"/>
        </w:tabs>
        <w:spacing w:line="560" w:lineRule="exact"/>
        <w:ind w:firstLine="424" w:firstLineChars="177"/>
        <w:rPr>
          <w:rFonts w:asciiTheme="minorEastAsia" w:hAnsiTheme="minorEastAsia" w:cstheme="minorEastAsia"/>
          <w:sz w:val="24"/>
          <w:u w:val="single"/>
        </w:rPr>
      </w:pPr>
      <w:r>
        <w:rPr>
          <w:rFonts w:hint="eastAsia" w:asciiTheme="minorEastAsia" w:hAnsiTheme="minorEastAsia" w:cstheme="minorEastAsia"/>
          <w:sz w:val="24"/>
        </w:rPr>
        <w:t>单位性质：</w:t>
      </w:r>
    </w:p>
    <w:p>
      <w:pPr>
        <w:tabs>
          <w:tab w:val="left" w:pos="2310"/>
        </w:tabs>
        <w:spacing w:line="560" w:lineRule="exact"/>
        <w:ind w:firstLine="424" w:firstLineChars="177"/>
        <w:rPr>
          <w:rFonts w:asciiTheme="minorEastAsia" w:hAnsiTheme="minorEastAsia" w:cstheme="minorEastAsia"/>
          <w:sz w:val="24"/>
          <w:u w:val="single"/>
        </w:rPr>
      </w:pPr>
      <w:r>
        <w:rPr>
          <w:rFonts w:hint="eastAsia" w:asciiTheme="minorEastAsia" w:hAnsiTheme="minorEastAsia" w:cstheme="minorEastAsia"/>
          <w:sz w:val="24"/>
        </w:rPr>
        <w:t>详细地址：</w:t>
      </w:r>
    </w:p>
    <w:p>
      <w:pPr>
        <w:tabs>
          <w:tab w:val="left" w:pos="2310"/>
        </w:tabs>
        <w:spacing w:line="560" w:lineRule="exact"/>
        <w:ind w:firstLine="424" w:firstLineChars="177"/>
        <w:rPr>
          <w:rFonts w:asciiTheme="minorEastAsia" w:hAnsiTheme="minorEastAsia" w:cstheme="minorEastAsia"/>
          <w:sz w:val="24"/>
        </w:rPr>
      </w:pPr>
      <w:r>
        <w:rPr>
          <w:rFonts w:hint="eastAsia" w:asciiTheme="minorEastAsia" w:hAnsiTheme="minorEastAsia" w:cstheme="minorEastAsia"/>
          <w:sz w:val="24"/>
        </w:rPr>
        <w:t>成立时间：    年   月  日</w:t>
      </w:r>
    </w:p>
    <w:p>
      <w:pPr>
        <w:tabs>
          <w:tab w:val="left" w:pos="2310"/>
        </w:tabs>
        <w:spacing w:line="560" w:lineRule="exact"/>
        <w:ind w:firstLine="424" w:firstLineChars="177"/>
        <w:rPr>
          <w:rFonts w:asciiTheme="minorEastAsia" w:hAnsiTheme="minorEastAsia" w:cstheme="minorEastAsia"/>
          <w:sz w:val="24"/>
          <w:u w:val="single"/>
        </w:rPr>
      </w:pPr>
      <w:r>
        <w:rPr>
          <w:rFonts w:hint="eastAsia" w:asciiTheme="minorEastAsia" w:hAnsiTheme="minorEastAsia" w:cstheme="minorEastAsia"/>
          <w:sz w:val="24"/>
        </w:rPr>
        <w:t>经营期限：</w:t>
      </w:r>
    </w:p>
    <w:p>
      <w:pPr>
        <w:tabs>
          <w:tab w:val="left" w:pos="2310"/>
        </w:tabs>
        <w:spacing w:line="560" w:lineRule="exact"/>
        <w:ind w:firstLine="424" w:firstLineChars="177"/>
        <w:rPr>
          <w:rFonts w:asciiTheme="minorEastAsia" w:hAnsiTheme="minorEastAsia" w:cstheme="minorEastAsia"/>
          <w:sz w:val="24"/>
        </w:rPr>
      </w:pPr>
      <w:r>
        <w:rPr>
          <w:rFonts w:hint="eastAsia" w:asciiTheme="minorEastAsia" w:hAnsiTheme="minorEastAsia" w:cstheme="minorEastAsia"/>
          <w:sz w:val="24"/>
        </w:rPr>
        <w:t>姓名：＿性别：＿年龄：＿职务：系（申请人名称）</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的法定代表人。</w:t>
      </w:r>
    </w:p>
    <w:p>
      <w:pPr>
        <w:tabs>
          <w:tab w:val="left" w:pos="2310"/>
        </w:tabs>
        <w:spacing w:line="560" w:lineRule="exact"/>
        <w:ind w:firstLine="424" w:firstLineChars="177"/>
        <w:rPr>
          <w:rFonts w:asciiTheme="minorEastAsia" w:hAnsiTheme="minorEastAsia" w:cstheme="minorEastAsia"/>
          <w:sz w:val="24"/>
        </w:rPr>
      </w:pPr>
    </w:p>
    <w:p>
      <w:pPr>
        <w:tabs>
          <w:tab w:val="left" w:pos="2310"/>
        </w:tabs>
        <w:spacing w:line="560" w:lineRule="exact"/>
        <w:ind w:firstLine="424" w:firstLineChars="177"/>
        <w:rPr>
          <w:rFonts w:asciiTheme="minorEastAsia" w:hAnsiTheme="minorEastAsia" w:cstheme="minorEastAsia"/>
          <w:sz w:val="24"/>
        </w:rPr>
      </w:pPr>
      <w:r>
        <w:rPr>
          <w:rFonts w:hint="eastAsia" w:asciiTheme="minorEastAsia" w:hAnsiTheme="minorEastAsia" w:cstheme="minorEastAsia"/>
          <w:sz w:val="24"/>
        </w:rPr>
        <w:t xml:space="preserve">  特此证明。</w:t>
      </w:r>
    </w:p>
    <w:tbl>
      <w:tblPr>
        <w:tblStyle w:val="19"/>
        <w:tblpPr w:leftFromText="180" w:rightFromText="180" w:vertAnchor="text" w:tblpXSpec="center" w:tblpY="286"/>
        <w:tblW w:w="4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4158" w:type="dxa"/>
          </w:tcPr>
          <w:p>
            <w:pPr>
              <w:spacing w:before="100" w:beforeAutospacing="1" w:after="100" w:afterAutospacing="1" w:line="360" w:lineRule="auto"/>
              <w:rPr>
                <w:rFonts w:asciiTheme="minorEastAsia" w:hAnsiTheme="minorEastAsia" w:cstheme="minorEastAsia"/>
                <w:b/>
                <w:sz w:val="24"/>
              </w:rPr>
            </w:pPr>
            <w:r>
              <w:rPr>
                <w:rFonts w:hint="eastAsia" w:asciiTheme="minorEastAsia" w:hAnsiTheme="minorEastAsia" w:cstheme="minorEastAsia"/>
                <w:b/>
                <w:sz w:val="24"/>
              </w:rPr>
              <w:t>法定代表人身份证复印件（双面）</w:t>
            </w:r>
          </w:p>
          <w:p>
            <w:pPr>
              <w:spacing w:before="100" w:beforeAutospacing="1" w:after="100" w:afterAutospacing="1" w:line="360" w:lineRule="auto"/>
              <w:rPr>
                <w:rFonts w:asciiTheme="minorEastAsia" w:hAnsiTheme="minorEastAsia" w:cstheme="minorEastAsia"/>
                <w:b/>
                <w:sz w:val="24"/>
              </w:rPr>
            </w:pPr>
          </w:p>
        </w:tc>
      </w:tr>
    </w:tbl>
    <w:p>
      <w:pPr>
        <w:tabs>
          <w:tab w:val="left" w:pos="2310"/>
        </w:tabs>
        <w:spacing w:line="560" w:lineRule="exact"/>
        <w:rPr>
          <w:rFonts w:asciiTheme="minorEastAsia" w:hAnsiTheme="minorEastAsia" w:cstheme="minorEastAsia"/>
          <w:sz w:val="24"/>
        </w:rPr>
      </w:pPr>
    </w:p>
    <w:p>
      <w:pPr>
        <w:tabs>
          <w:tab w:val="left" w:pos="2310"/>
        </w:tabs>
        <w:spacing w:line="560" w:lineRule="exact"/>
        <w:rPr>
          <w:rFonts w:asciiTheme="minorEastAsia" w:hAnsiTheme="minorEastAsia" w:cstheme="minorEastAsia"/>
          <w:sz w:val="24"/>
        </w:rPr>
      </w:pPr>
    </w:p>
    <w:p>
      <w:pPr>
        <w:tabs>
          <w:tab w:val="left" w:pos="2310"/>
        </w:tabs>
        <w:spacing w:line="560" w:lineRule="exact"/>
        <w:rPr>
          <w:rFonts w:asciiTheme="minorEastAsia" w:hAnsiTheme="minorEastAsia" w:cstheme="minorEastAsia"/>
          <w:sz w:val="24"/>
        </w:rPr>
      </w:pPr>
    </w:p>
    <w:p>
      <w:pPr>
        <w:tabs>
          <w:tab w:val="left" w:pos="2310"/>
        </w:tabs>
        <w:spacing w:line="560" w:lineRule="exact"/>
        <w:rPr>
          <w:rFonts w:asciiTheme="minorEastAsia" w:hAnsiTheme="minorEastAsia" w:cstheme="minorEastAsia"/>
          <w:sz w:val="24"/>
        </w:rPr>
      </w:pPr>
    </w:p>
    <w:p>
      <w:pPr>
        <w:tabs>
          <w:tab w:val="left" w:pos="2310"/>
        </w:tabs>
        <w:spacing w:line="560" w:lineRule="exact"/>
        <w:rPr>
          <w:rFonts w:asciiTheme="minorEastAsia" w:hAnsiTheme="minorEastAsia" w:cstheme="minorEastAsia"/>
          <w:sz w:val="24"/>
        </w:rPr>
      </w:pPr>
    </w:p>
    <w:p>
      <w:pPr>
        <w:tabs>
          <w:tab w:val="left" w:pos="2310"/>
        </w:tabs>
        <w:spacing w:line="560" w:lineRule="exact"/>
        <w:ind w:firstLine="3360" w:firstLineChars="1400"/>
        <w:rPr>
          <w:rFonts w:asciiTheme="minorEastAsia" w:hAnsiTheme="minorEastAsia" w:cstheme="minorEastAsia"/>
          <w:sz w:val="24"/>
        </w:rPr>
      </w:pPr>
      <w:r>
        <w:rPr>
          <w:rFonts w:hint="eastAsia" w:asciiTheme="minorEastAsia" w:hAnsiTheme="minorEastAsia" w:cstheme="minorEastAsia"/>
          <w:sz w:val="24"/>
        </w:rPr>
        <w:t xml:space="preserve"> 申请人：（盖单位章）</w:t>
      </w:r>
    </w:p>
    <w:p>
      <w:pPr>
        <w:tabs>
          <w:tab w:val="left" w:pos="2310"/>
        </w:tabs>
        <w:spacing w:line="560" w:lineRule="exact"/>
        <w:ind w:firstLine="3840" w:firstLineChars="1600"/>
        <w:rPr>
          <w:rFonts w:asciiTheme="minorEastAsia" w:hAnsiTheme="minorEastAsia" w:cstheme="minorEastAsia"/>
          <w:sz w:val="24"/>
        </w:rPr>
      </w:pPr>
      <w:r>
        <w:rPr>
          <w:rFonts w:hint="eastAsia" w:asciiTheme="minorEastAsia" w:hAnsiTheme="minorEastAsia" w:cstheme="minorEastAsia"/>
          <w:sz w:val="24"/>
        </w:rPr>
        <w:t>年    月   日</w:t>
      </w:r>
    </w:p>
    <w:p>
      <w:pPr>
        <w:spacing w:line="400" w:lineRule="exact"/>
        <w:rPr>
          <w:rFonts w:eastAsia="黑体"/>
          <w:sz w:val="20"/>
          <w:szCs w:val="20"/>
        </w:rPr>
      </w:pPr>
    </w:p>
    <w:p>
      <w:bookmarkStart w:id="687" w:name="_Toc179632814"/>
      <w:bookmarkStart w:id="688" w:name="_Toc246996362"/>
      <w:bookmarkStart w:id="689" w:name="_Toc152045794"/>
      <w:bookmarkStart w:id="690" w:name="_Toc5381"/>
      <w:bookmarkStart w:id="691" w:name="_Toc30807"/>
      <w:bookmarkStart w:id="692" w:name="_Toc246997105"/>
      <w:bookmarkStart w:id="693" w:name="_Toc152042583"/>
      <w:bookmarkStart w:id="694" w:name="_Toc144974862"/>
      <w:bookmarkStart w:id="695" w:name="_Toc247085880"/>
    </w:p>
    <w:p/>
    <w:p/>
    <w:p/>
    <w:p/>
    <w:p/>
    <w:bookmarkEnd w:id="687"/>
    <w:bookmarkEnd w:id="688"/>
    <w:bookmarkEnd w:id="689"/>
    <w:bookmarkEnd w:id="690"/>
    <w:bookmarkEnd w:id="691"/>
    <w:bookmarkEnd w:id="692"/>
    <w:bookmarkEnd w:id="693"/>
    <w:bookmarkEnd w:id="694"/>
    <w:bookmarkEnd w:id="695"/>
    <w:p>
      <w:pPr>
        <w:spacing w:line="440" w:lineRule="exact"/>
        <w:rPr>
          <w:szCs w:val="21"/>
        </w:rPr>
      </w:pPr>
    </w:p>
    <w:p>
      <w:pPr>
        <w:pStyle w:val="2"/>
        <w:ind w:firstLine="420"/>
        <w:rPr>
          <w:rFonts w:hint="default"/>
        </w:rPr>
      </w:pPr>
    </w:p>
    <w:p>
      <w:pPr>
        <w:rPr>
          <w:rFonts w:ascii="黑体" w:hAnsi="黑体" w:eastAsia="黑体" w:cs="黑体"/>
          <w:sz w:val="28"/>
          <w:szCs w:val="28"/>
        </w:rPr>
      </w:pPr>
      <w:r>
        <w:rPr>
          <w:rFonts w:hint="eastAsia" w:ascii="黑体" w:hAnsi="黑体" w:eastAsia="黑体" w:cs="黑体"/>
          <w:sz w:val="28"/>
          <w:szCs w:val="28"/>
        </w:rPr>
        <w:br w:type="page"/>
      </w:r>
    </w:p>
    <w:p>
      <w:pPr>
        <w:spacing w:line="440" w:lineRule="exact"/>
        <w:ind w:left="420" w:leftChars="200"/>
        <w:jc w:val="center"/>
        <w:outlineLvl w:val="1"/>
        <w:rPr>
          <w:rFonts w:ascii="黑体" w:hAnsi="黑体" w:eastAsia="黑体" w:cs="黑体"/>
          <w:sz w:val="28"/>
          <w:szCs w:val="28"/>
        </w:rPr>
      </w:pPr>
      <w:bookmarkStart w:id="696" w:name="_Toc12045"/>
      <w:bookmarkStart w:id="697" w:name="_Toc27133"/>
      <w:bookmarkStart w:id="698" w:name="_Toc32408"/>
      <w:bookmarkStart w:id="699" w:name="_Toc18889"/>
      <w:bookmarkStart w:id="700" w:name="_Toc4409"/>
      <w:r>
        <w:rPr>
          <w:rFonts w:hint="eastAsia" w:ascii="黑体" w:hAnsi="黑体" w:eastAsia="黑体" w:cs="黑体"/>
          <w:sz w:val="28"/>
          <w:szCs w:val="28"/>
        </w:rPr>
        <w:t>三、投标保证金</w:t>
      </w:r>
      <w:bookmarkEnd w:id="696"/>
      <w:bookmarkEnd w:id="697"/>
      <w:bookmarkEnd w:id="698"/>
      <w:bookmarkEnd w:id="699"/>
      <w:bookmarkEnd w:id="700"/>
    </w:p>
    <w:p>
      <w:pPr>
        <w:spacing w:line="440" w:lineRule="exact"/>
        <w:ind w:left="420" w:leftChars="200"/>
        <w:rPr>
          <w:rFonts w:ascii="宋体" w:hAnsi="宋体"/>
          <w:sz w:val="24"/>
        </w:rPr>
      </w:pPr>
    </w:p>
    <w:p>
      <w:pPr>
        <w:spacing w:line="440" w:lineRule="exact"/>
        <w:ind w:left="420" w:leftChars="200"/>
        <w:rPr>
          <w:rFonts w:ascii="宋体" w:hAnsi="宋体"/>
          <w:sz w:val="24"/>
        </w:rPr>
      </w:pPr>
      <w:r>
        <w:rPr>
          <w:rFonts w:hint="eastAsia" w:ascii="宋体" w:hAnsi="宋体"/>
          <w:sz w:val="24"/>
        </w:rPr>
        <w:t>投标人应在此位置附：</w:t>
      </w:r>
    </w:p>
    <w:p>
      <w:pPr>
        <w:numPr>
          <w:ilvl w:val="0"/>
          <w:numId w:val="9"/>
        </w:numPr>
        <w:spacing w:line="440" w:lineRule="exact"/>
        <w:ind w:firstLine="480" w:firstLineChars="200"/>
        <w:rPr>
          <w:rFonts w:ascii="宋体" w:hAnsi="宋体"/>
          <w:sz w:val="24"/>
        </w:rPr>
      </w:pPr>
      <w:r>
        <w:rPr>
          <w:rFonts w:hint="eastAsia" w:ascii="宋体" w:hAnsi="宋体"/>
          <w:sz w:val="24"/>
        </w:rPr>
        <w:t>银行付款凭证复印件加盖公章。</w:t>
      </w:r>
    </w:p>
    <w:p>
      <w:pPr>
        <w:spacing w:line="440" w:lineRule="exact"/>
        <w:rPr>
          <w:szCs w:val="21"/>
        </w:rPr>
      </w:pPr>
      <w:r>
        <w:rPr>
          <w:szCs w:val="21"/>
        </w:rPr>
        <w:br w:type="page"/>
      </w:r>
    </w:p>
    <w:p>
      <w:pPr>
        <w:pStyle w:val="5"/>
        <w:jc w:val="center"/>
      </w:pPr>
      <w:bookmarkStart w:id="701" w:name="_Toc247085890"/>
      <w:bookmarkStart w:id="702" w:name="_Toc19288"/>
      <w:bookmarkStart w:id="703" w:name="_Toc20303"/>
      <w:bookmarkStart w:id="704" w:name="_Toc23614"/>
      <w:bookmarkStart w:id="705" w:name="_Toc152045807"/>
      <w:bookmarkStart w:id="706" w:name="_Toc1181"/>
      <w:bookmarkStart w:id="707" w:name="_Toc144974875"/>
      <w:bookmarkStart w:id="708" w:name="_Toc5594"/>
      <w:bookmarkStart w:id="709" w:name="_Toc246997115"/>
      <w:bookmarkStart w:id="710" w:name="_Toc179632827"/>
      <w:bookmarkStart w:id="711" w:name="_Toc16595"/>
      <w:bookmarkStart w:id="712" w:name="_Toc152042596"/>
      <w:bookmarkStart w:id="713" w:name="_Toc28460"/>
      <w:bookmarkStart w:id="714" w:name="_Toc246996372"/>
      <w:r>
        <w:rPr>
          <w:rFonts w:hint="eastAsia"/>
        </w:rPr>
        <w:t>四</w:t>
      </w:r>
      <w:r>
        <w:t>、资格审查资料</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jc w:val="center"/>
        <w:rPr>
          <w:rFonts w:ascii="黑体" w:hAnsi="黑体" w:eastAsia="黑体" w:cs="黑体"/>
          <w:sz w:val="28"/>
          <w:szCs w:val="36"/>
        </w:rPr>
      </w:pPr>
      <w:bookmarkStart w:id="715" w:name="_Toc246997116"/>
      <w:bookmarkStart w:id="716" w:name="_Toc152042597"/>
      <w:bookmarkStart w:id="717" w:name="_Toc29210_WPSOffice_Level1"/>
      <w:bookmarkStart w:id="718" w:name="_Toc247085891"/>
      <w:bookmarkStart w:id="719" w:name="_Toc152045808"/>
      <w:bookmarkStart w:id="720" w:name="_Toc144974876"/>
      <w:bookmarkStart w:id="721" w:name="_Toc246996373"/>
      <w:bookmarkStart w:id="722" w:name="_Toc27327"/>
      <w:bookmarkStart w:id="723" w:name="_Toc18279_WPSOffice_Level1"/>
      <w:bookmarkStart w:id="724" w:name="_Toc32043"/>
      <w:bookmarkStart w:id="725" w:name="_Toc179632828"/>
      <w:r>
        <w:rPr>
          <w:rFonts w:hint="eastAsia" w:ascii="黑体" w:hAnsi="黑体" w:eastAsia="黑体" w:cs="黑体"/>
          <w:sz w:val="28"/>
          <w:szCs w:val="36"/>
        </w:rPr>
        <w:t>（一）投标人基本情况表</w:t>
      </w:r>
      <w:bookmarkEnd w:id="715"/>
      <w:bookmarkEnd w:id="716"/>
      <w:bookmarkEnd w:id="717"/>
      <w:bookmarkEnd w:id="718"/>
      <w:bookmarkEnd w:id="719"/>
      <w:bookmarkEnd w:id="720"/>
      <w:bookmarkEnd w:id="721"/>
      <w:bookmarkEnd w:id="722"/>
      <w:bookmarkEnd w:id="723"/>
      <w:bookmarkEnd w:id="724"/>
      <w:bookmarkEnd w:id="725"/>
    </w:p>
    <w:tbl>
      <w:tblPr>
        <w:tblStyle w:val="19"/>
        <w:tblW w:w="90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136"/>
        <w:gridCol w:w="713"/>
        <w:gridCol w:w="1571"/>
        <w:gridCol w:w="236"/>
        <w:gridCol w:w="1064"/>
        <w:gridCol w:w="26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申请人名称</w:t>
            </w:r>
          </w:p>
        </w:tc>
        <w:tc>
          <w:tcPr>
            <w:tcW w:w="735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注册地址</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邮政编码</w:t>
            </w:r>
          </w:p>
        </w:tc>
        <w:tc>
          <w:tcPr>
            <w:tcW w:w="263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联系方式</w:t>
            </w: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联系人</w:t>
            </w:r>
          </w:p>
        </w:tc>
        <w:tc>
          <w:tcPr>
            <w:tcW w:w="228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电 话</w:t>
            </w:r>
          </w:p>
        </w:tc>
        <w:tc>
          <w:tcPr>
            <w:tcW w:w="263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传  真</w:t>
            </w:r>
          </w:p>
        </w:tc>
        <w:tc>
          <w:tcPr>
            <w:tcW w:w="228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网 址</w:t>
            </w:r>
          </w:p>
        </w:tc>
        <w:tc>
          <w:tcPr>
            <w:tcW w:w="263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组织结构</w:t>
            </w:r>
          </w:p>
        </w:tc>
        <w:tc>
          <w:tcPr>
            <w:tcW w:w="735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法定代表人</w:t>
            </w: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姓名</w:t>
            </w:r>
          </w:p>
        </w:tc>
        <w:tc>
          <w:tcPr>
            <w:tcW w:w="6215"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技术负责人</w:t>
            </w: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姓名</w:t>
            </w:r>
          </w:p>
        </w:tc>
        <w:tc>
          <w:tcPr>
            <w:tcW w:w="6215"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c>
          <w:tcPr>
            <w:tcW w:w="180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20" w:firstLineChars="50"/>
              <w:rPr>
                <w:rFonts w:asciiTheme="minorEastAsia" w:hAnsiTheme="minorEastAsia" w:cstheme="minorEastAsia"/>
                <w:sz w:val="24"/>
              </w:rPr>
            </w:pPr>
            <w:r>
              <w:rPr>
                <w:rFonts w:hint="eastAsia" w:asciiTheme="minorEastAsia" w:hAnsiTheme="minorEastAsia" w:cstheme="minorEastAsia"/>
                <w:sz w:val="24"/>
              </w:rPr>
              <w:t>员工总人数</w:t>
            </w:r>
          </w:p>
        </w:tc>
        <w:tc>
          <w:tcPr>
            <w:tcW w:w="369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20" w:firstLineChars="50"/>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营业执照号</w:t>
            </w:r>
          </w:p>
        </w:tc>
        <w:tc>
          <w:tcPr>
            <w:tcW w:w="735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注册资金</w:t>
            </w:r>
          </w:p>
        </w:tc>
        <w:tc>
          <w:tcPr>
            <w:tcW w:w="735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开户银行及账号</w:t>
            </w:r>
          </w:p>
        </w:tc>
        <w:tc>
          <w:tcPr>
            <w:tcW w:w="735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41"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ind w:firstLine="240" w:firstLineChars="100"/>
              <w:jc w:val="center"/>
              <w:rPr>
                <w:rFonts w:asciiTheme="minorEastAsia" w:hAnsiTheme="minorEastAsia" w:cstheme="minorEastAsia"/>
                <w:sz w:val="24"/>
              </w:rPr>
            </w:pPr>
            <w:r>
              <w:rPr>
                <w:rFonts w:hint="eastAsia" w:asciiTheme="minorEastAsia" w:hAnsiTheme="minorEastAsia" w:cstheme="minorEastAsia"/>
                <w:sz w:val="24"/>
              </w:rPr>
              <w:t>企业简介</w:t>
            </w:r>
          </w:p>
        </w:tc>
        <w:tc>
          <w:tcPr>
            <w:tcW w:w="7351" w:type="dxa"/>
            <w:gridSpan w:val="6"/>
            <w:tcBorders>
              <w:top w:val="single" w:color="auto" w:sz="4" w:space="0"/>
              <w:left w:val="single" w:color="auto" w:sz="4" w:space="0"/>
              <w:bottom w:val="single" w:color="auto" w:sz="4" w:space="0"/>
            </w:tcBorders>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1" w:hRule="atLeast"/>
          <w:jc w:val="center"/>
        </w:trPr>
        <w:tc>
          <w:tcPr>
            <w:tcW w:w="1728" w:type="dxa"/>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组织架构</w:t>
            </w:r>
          </w:p>
        </w:tc>
        <w:tc>
          <w:tcPr>
            <w:tcW w:w="7351" w:type="dxa"/>
            <w:gridSpan w:val="6"/>
            <w:tcBorders>
              <w:top w:val="single" w:color="auto" w:sz="4" w:space="0"/>
              <w:left w:val="single" w:color="auto" w:sz="4" w:space="0"/>
              <w:bottom w:val="single" w:color="auto" w:sz="4" w:space="0"/>
            </w:tcBorders>
            <w:vAlign w:val="center"/>
          </w:tcPr>
          <w:p>
            <w:pPr>
              <w:jc w:val="center"/>
              <w:rPr>
                <w:rFonts w:asciiTheme="minorEastAsia" w:hAnsiTheme="minorEastAsia" w:cstheme="minorEastAsia"/>
                <w:sz w:val="24"/>
              </w:rPr>
            </w:pPr>
          </w:p>
        </w:tc>
      </w:tr>
    </w:tbl>
    <w:p>
      <w:pPr>
        <w:tabs>
          <w:tab w:val="left" w:pos="2010"/>
        </w:tabs>
        <w:spacing w:line="460" w:lineRule="exact"/>
        <w:ind w:firstLine="482" w:firstLineChars="200"/>
        <w:rPr>
          <w:rFonts w:ascii="宋体" w:hAnsi="宋体"/>
          <w:b/>
          <w:szCs w:val="21"/>
        </w:rPr>
      </w:pPr>
      <w:bookmarkStart w:id="726" w:name="_Toc475539075"/>
      <w:bookmarkStart w:id="727" w:name="_Toc475538535"/>
      <w:r>
        <w:rPr>
          <w:rFonts w:hint="eastAsia" w:asciiTheme="minorEastAsia" w:hAnsiTheme="minorEastAsia" w:cstheme="minorEastAsia"/>
          <w:b/>
          <w:sz w:val="24"/>
          <w:szCs w:val="21"/>
        </w:rPr>
        <w:t>本表后附申请人营业执照副本复印件、税务登记证副本复</w:t>
      </w:r>
      <w:r>
        <w:rPr>
          <w:rFonts w:hint="eastAsia" w:ascii="宋体" w:hAnsi="宋体"/>
          <w:b/>
          <w:sz w:val="24"/>
          <w:szCs w:val="21"/>
        </w:rPr>
        <w:t>印件、组织机构代码证副本复印件(若营业执照更换为统一社会信用代码，则不需要提供税务登记证副本和组织机构代码证副本复印件)。</w:t>
      </w:r>
      <w:bookmarkEnd w:id="726"/>
      <w:bookmarkEnd w:id="727"/>
    </w:p>
    <w:p>
      <w:r>
        <w:rPr>
          <w:rFonts w:hint="eastAsia" w:ascii="宋体" w:hAnsi="宋体"/>
          <w:b/>
          <w:szCs w:val="21"/>
        </w:rPr>
        <w:br w:type="page"/>
      </w:r>
    </w:p>
    <w:p>
      <w:pPr>
        <w:pStyle w:val="2"/>
        <w:ind w:left="0" w:leftChars="0" w:firstLine="0" w:firstLineChars="0"/>
        <w:jc w:val="center"/>
        <w:rPr>
          <w:rFonts w:hint="default" w:ascii="Arial" w:hAnsi="Arial" w:eastAsia="黑体"/>
          <w:sz w:val="28"/>
          <w:szCs w:val="32"/>
        </w:rPr>
      </w:pPr>
      <w:r>
        <w:rPr>
          <w:rFonts w:ascii="Arial" w:hAnsi="Arial" w:eastAsia="黑体"/>
          <w:sz w:val="28"/>
          <w:szCs w:val="32"/>
        </w:rPr>
        <w:t>（二）申请人信誉情况</w:t>
      </w:r>
    </w:p>
    <w:p>
      <w:pPr>
        <w:spacing w:line="500" w:lineRule="exact"/>
        <w:ind w:firstLine="360" w:firstLineChars="150"/>
        <w:rPr>
          <w:rFonts w:ascii="宋体" w:hAnsi="宋体"/>
          <w:sz w:val="24"/>
        </w:rPr>
      </w:pPr>
      <w:r>
        <w:rPr>
          <w:rFonts w:hint="eastAsia" w:ascii="宋体" w:hAnsi="宋体"/>
          <w:sz w:val="24"/>
        </w:rPr>
        <w:t>（1）申请人</w:t>
      </w:r>
      <w:r>
        <w:rPr>
          <w:rFonts w:ascii="宋体" w:hAnsi="宋体"/>
          <w:sz w:val="24"/>
        </w:rPr>
        <w:t>及其控股股东、公司高级管理人员最近三年内无重大违法违规行为且无重大未决诉讼事项。</w:t>
      </w:r>
      <w:r>
        <w:rPr>
          <w:rFonts w:hint="eastAsia" w:ascii="宋体" w:hAnsi="宋体"/>
          <w:sz w:val="24"/>
        </w:rPr>
        <w:t>（申请人自行做出承诺，格式自拟，并加盖公章）</w:t>
      </w:r>
    </w:p>
    <w:p>
      <w:pPr>
        <w:spacing w:line="500" w:lineRule="exact"/>
        <w:ind w:firstLine="360" w:firstLineChars="150"/>
        <w:rPr>
          <w:rFonts w:ascii="宋体" w:hAnsi="宋体"/>
          <w:sz w:val="24"/>
        </w:rPr>
      </w:pPr>
      <w:r>
        <w:rPr>
          <w:rFonts w:hint="eastAsia" w:ascii="宋体" w:hAnsi="宋体"/>
          <w:sz w:val="24"/>
        </w:rPr>
        <w:t>（2）企业无行贿受贿记录证明</w:t>
      </w:r>
    </w:p>
    <w:p>
      <w:pPr>
        <w:tabs>
          <w:tab w:val="left" w:pos="2010"/>
        </w:tabs>
        <w:spacing w:line="460" w:lineRule="exact"/>
        <w:ind w:firstLine="480" w:firstLineChars="200"/>
        <w:rPr>
          <w:rFonts w:ascii="宋体" w:hAnsi="宋体"/>
          <w:sz w:val="24"/>
        </w:rPr>
      </w:pPr>
      <w:r>
        <w:rPr>
          <w:rFonts w:hint="eastAsia" w:ascii="宋体" w:hAnsi="宋体"/>
          <w:sz w:val="24"/>
        </w:rPr>
        <w:t>提供投标截止日前 20 日内的无行贿受贿记录，附“中国裁判文书网”（http://wenshu.court.gov.cn/）查询：投标单位、法定代表人无行贿犯罪档案的记录查询结果截图加盖公章。</w:t>
      </w:r>
    </w:p>
    <w:p>
      <w:pPr>
        <w:pStyle w:val="2"/>
        <w:ind w:left="840" w:leftChars="400" w:firstLine="0" w:firstLineChars="0"/>
        <w:rPr>
          <w:rFonts w:hint="default" w:ascii="宋体" w:hAnsi="宋体"/>
          <w:b/>
          <w:sz w:val="32"/>
          <w:szCs w:val="32"/>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r>
        <w:br w:type="page"/>
      </w:r>
    </w:p>
    <w:p>
      <w:pPr>
        <w:pStyle w:val="2"/>
        <w:ind w:firstLine="420"/>
        <w:rPr>
          <w:rFonts w:hint="default"/>
        </w:rPr>
      </w:pPr>
    </w:p>
    <w:p>
      <w:pPr>
        <w:pStyle w:val="2"/>
        <w:ind w:firstLine="420"/>
        <w:rPr>
          <w:rFonts w:hint="default"/>
        </w:rPr>
      </w:pPr>
    </w:p>
    <w:p>
      <w:pPr>
        <w:pStyle w:val="2"/>
        <w:ind w:left="0" w:leftChars="0" w:firstLine="0" w:firstLineChars="0"/>
        <w:jc w:val="center"/>
        <w:rPr>
          <w:rFonts w:hint="default" w:ascii="Arial" w:hAnsi="Arial" w:eastAsia="黑体"/>
          <w:sz w:val="28"/>
          <w:szCs w:val="32"/>
        </w:rPr>
      </w:pPr>
      <w:r>
        <w:rPr>
          <w:rFonts w:ascii="Arial" w:hAnsi="Arial" w:eastAsia="黑体"/>
          <w:sz w:val="28"/>
          <w:szCs w:val="32"/>
        </w:rPr>
        <w:t>（三）近年类似项目业绩</w:t>
      </w:r>
    </w:p>
    <w:tbl>
      <w:tblPr>
        <w:tblStyle w:val="19"/>
        <w:tblW w:w="9940" w:type="dxa"/>
        <w:jc w:val="center"/>
        <w:tblLayout w:type="fixed"/>
        <w:tblCellMar>
          <w:top w:w="0" w:type="dxa"/>
          <w:left w:w="108" w:type="dxa"/>
          <w:bottom w:w="0" w:type="dxa"/>
          <w:right w:w="108" w:type="dxa"/>
        </w:tblCellMar>
      </w:tblPr>
      <w:tblGrid>
        <w:gridCol w:w="615"/>
        <w:gridCol w:w="1474"/>
        <w:gridCol w:w="1570"/>
        <w:gridCol w:w="1565"/>
        <w:gridCol w:w="1183"/>
        <w:gridCol w:w="1667"/>
        <w:gridCol w:w="1866"/>
      </w:tblGrid>
      <w:tr>
        <w:tblPrEx>
          <w:tblCellMar>
            <w:top w:w="0" w:type="dxa"/>
            <w:left w:w="108" w:type="dxa"/>
            <w:bottom w:w="0" w:type="dxa"/>
            <w:right w:w="108" w:type="dxa"/>
          </w:tblCellMar>
        </w:tblPrEx>
        <w:trPr>
          <w:trHeight w:val="670"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hint="eastAsia" w:ascii="宋体" w:hAnsi="宋体"/>
                <w:sz w:val="18"/>
                <w:szCs w:val="18"/>
              </w:rPr>
              <w:t>序号</w:t>
            </w: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ascii="宋体" w:hAnsi="宋体"/>
                <w:sz w:val="18"/>
                <w:szCs w:val="18"/>
              </w:rPr>
              <w:t>项目名称</w:t>
            </w: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hint="eastAsia" w:ascii="宋体" w:hAnsi="宋体"/>
                <w:sz w:val="18"/>
                <w:szCs w:val="18"/>
              </w:rPr>
              <w:t>采购</w:t>
            </w:r>
            <w:r>
              <w:rPr>
                <w:rFonts w:ascii="宋体" w:hAnsi="宋体"/>
                <w:sz w:val="18"/>
                <w:szCs w:val="18"/>
              </w:rPr>
              <w:t>人名称</w:t>
            </w: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hint="eastAsia" w:ascii="宋体" w:hAnsi="宋体"/>
                <w:sz w:val="18"/>
                <w:szCs w:val="18"/>
              </w:rPr>
              <w:t>合同签订日期</w:t>
            </w: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ascii="宋体" w:hAnsi="宋体"/>
                <w:sz w:val="18"/>
                <w:szCs w:val="18"/>
              </w:rPr>
              <w:t>合同价格</w:t>
            </w:r>
          </w:p>
          <w:p>
            <w:pPr>
              <w:topLinePunct/>
              <w:spacing w:line="360" w:lineRule="auto"/>
              <w:jc w:val="center"/>
              <w:rPr>
                <w:rFonts w:ascii="宋体" w:hAnsi="宋体"/>
                <w:sz w:val="18"/>
                <w:szCs w:val="18"/>
              </w:rPr>
            </w:pPr>
            <w:r>
              <w:rPr>
                <w:rFonts w:hint="eastAsia" w:ascii="宋体" w:hAnsi="宋体"/>
                <w:sz w:val="18"/>
                <w:szCs w:val="18"/>
              </w:rPr>
              <w:t>（万元）</w:t>
            </w: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hint="eastAsia" w:ascii="宋体" w:hAnsi="宋体" w:cs="宋体"/>
                <w:sz w:val="18"/>
                <w:szCs w:val="18"/>
              </w:rPr>
              <w:t>合作期限</w:t>
            </w: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hint="eastAsia" w:ascii="宋体" w:hAnsi="宋体"/>
                <w:sz w:val="18"/>
                <w:szCs w:val="18"/>
              </w:rPr>
              <w:t>备注</w:t>
            </w:r>
          </w:p>
        </w:tc>
      </w:tr>
      <w:tr>
        <w:tblPrEx>
          <w:tblCellMar>
            <w:top w:w="0" w:type="dxa"/>
            <w:left w:w="108" w:type="dxa"/>
            <w:bottom w:w="0" w:type="dxa"/>
            <w:right w:w="108" w:type="dxa"/>
          </w:tblCellMar>
        </w:tblPrEx>
        <w:trPr>
          <w:trHeight w:val="606"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612"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538"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616"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615"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604"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627"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607"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bl>
    <w:p>
      <w:pPr>
        <w:rPr>
          <w:rFonts w:ascii="宋体" w:hAnsi="宋体"/>
          <w:bCs/>
          <w:szCs w:val="21"/>
        </w:rPr>
      </w:pPr>
    </w:p>
    <w:p>
      <w:pPr>
        <w:tabs>
          <w:tab w:val="left" w:pos="2010"/>
        </w:tabs>
        <w:spacing w:line="460" w:lineRule="exact"/>
        <w:ind w:firstLine="482" w:firstLineChars="200"/>
        <w:rPr>
          <w:rFonts w:ascii="宋体" w:hAnsi="宋体"/>
          <w:b/>
          <w:sz w:val="24"/>
          <w:szCs w:val="21"/>
        </w:rPr>
      </w:pPr>
      <w:bookmarkStart w:id="728" w:name="_Toc475538539"/>
      <w:bookmarkStart w:id="729" w:name="_Toc475539079"/>
      <w:r>
        <w:rPr>
          <w:rFonts w:hint="eastAsia" w:ascii="宋体" w:hAnsi="宋体"/>
          <w:b/>
          <w:bCs/>
          <w:sz w:val="24"/>
          <w:szCs w:val="21"/>
        </w:rPr>
        <w:t>注：</w:t>
      </w:r>
      <w:bookmarkEnd w:id="728"/>
      <w:bookmarkEnd w:id="729"/>
      <w:r>
        <w:rPr>
          <w:rFonts w:hint="eastAsia" w:ascii="宋体" w:hAnsi="宋体"/>
          <w:b/>
          <w:sz w:val="24"/>
          <w:szCs w:val="21"/>
        </w:rPr>
        <w:t>申请人须提供中标通知书或合同协议书</w:t>
      </w:r>
      <w:r>
        <w:rPr>
          <w:rFonts w:hint="eastAsia" w:ascii="宋体" w:hAnsi="宋体"/>
          <w:b/>
          <w:bCs/>
          <w:sz w:val="24"/>
          <w:szCs w:val="21"/>
        </w:rPr>
        <w:t>（首页、体现项目名称、能说明合同内容的关键页、合同金额页及签章页）</w:t>
      </w:r>
      <w:r>
        <w:rPr>
          <w:rFonts w:hint="eastAsia" w:ascii="宋体" w:hAnsi="宋体"/>
          <w:b/>
          <w:sz w:val="24"/>
          <w:szCs w:val="21"/>
        </w:rPr>
        <w:t>复印件加盖公章。</w:t>
      </w:r>
    </w:p>
    <w:p>
      <w:pPr>
        <w:pStyle w:val="2"/>
        <w:ind w:left="840" w:leftChars="400" w:firstLine="0" w:firstLineChars="0"/>
        <w:rPr>
          <w:rFonts w:hint="default" w:ascii="Arial" w:hAnsi="Arial" w:eastAsia="黑体"/>
          <w:sz w:val="28"/>
          <w:szCs w:val="32"/>
        </w:rPr>
      </w:pPr>
    </w:p>
    <w:p>
      <w:pPr>
        <w:pStyle w:val="2"/>
        <w:ind w:left="0" w:leftChars="0" w:firstLine="0" w:firstLineChars="0"/>
        <w:rPr>
          <w:rFonts w:hint="default" w:ascii="宋体" w:hAnsi="宋体"/>
          <w:b/>
          <w:sz w:val="32"/>
          <w:szCs w:val="32"/>
        </w:rPr>
      </w:pPr>
    </w:p>
    <w:p>
      <w:pPr>
        <w:pStyle w:val="2"/>
        <w:ind w:left="0" w:leftChars="0" w:firstLine="0" w:firstLineChars="0"/>
        <w:rPr>
          <w:rFonts w:hint="default" w:ascii="宋体" w:hAnsi="宋体"/>
          <w:b/>
          <w:sz w:val="32"/>
          <w:szCs w:val="32"/>
        </w:rPr>
      </w:pPr>
    </w:p>
    <w:p>
      <w:pPr>
        <w:pStyle w:val="2"/>
        <w:ind w:left="0" w:leftChars="0" w:firstLine="0" w:firstLineChars="0"/>
        <w:rPr>
          <w:rFonts w:hint="default" w:ascii="宋体" w:hAnsi="宋体"/>
          <w:b/>
          <w:sz w:val="32"/>
          <w:szCs w:val="32"/>
        </w:rPr>
      </w:pPr>
    </w:p>
    <w:p>
      <w:pPr>
        <w:pStyle w:val="2"/>
        <w:ind w:left="0" w:leftChars="0" w:firstLine="0" w:firstLineChars="0"/>
        <w:rPr>
          <w:rFonts w:hint="default" w:ascii="宋体" w:hAnsi="宋体"/>
          <w:b/>
          <w:sz w:val="32"/>
          <w:szCs w:val="32"/>
        </w:rPr>
      </w:pPr>
    </w:p>
    <w:p>
      <w:pPr>
        <w:pStyle w:val="2"/>
        <w:ind w:left="0" w:leftChars="0" w:firstLine="0" w:firstLineChars="0"/>
        <w:rPr>
          <w:rFonts w:hint="default" w:ascii="宋体" w:hAnsi="宋体"/>
          <w:b/>
          <w:sz w:val="32"/>
          <w:szCs w:val="32"/>
        </w:rPr>
      </w:pPr>
    </w:p>
    <w:p>
      <w:pPr>
        <w:pStyle w:val="2"/>
        <w:ind w:left="0" w:leftChars="0" w:firstLine="0" w:firstLineChars="0"/>
        <w:rPr>
          <w:rFonts w:hint="default" w:ascii="宋体" w:hAnsi="宋体"/>
          <w:b/>
          <w:sz w:val="32"/>
          <w:szCs w:val="32"/>
        </w:rPr>
      </w:pPr>
    </w:p>
    <w:p>
      <w:pPr>
        <w:rPr>
          <w:rFonts w:ascii="宋体" w:hAnsi="宋体"/>
          <w:b/>
          <w:sz w:val="32"/>
          <w:szCs w:val="32"/>
        </w:rPr>
      </w:pPr>
      <w:r>
        <w:rPr>
          <w:rFonts w:hint="eastAsia" w:ascii="宋体" w:hAnsi="宋体"/>
          <w:b/>
          <w:sz w:val="32"/>
          <w:szCs w:val="32"/>
        </w:rPr>
        <w:br w:type="page"/>
      </w:r>
    </w:p>
    <w:p>
      <w:pPr>
        <w:pStyle w:val="2"/>
        <w:ind w:left="0" w:leftChars="0" w:firstLine="0" w:firstLineChars="0"/>
        <w:rPr>
          <w:rFonts w:hint="default" w:ascii="宋体" w:hAnsi="宋体"/>
          <w:b/>
          <w:sz w:val="32"/>
          <w:szCs w:val="32"/>
        </w:rPr>
      </w:pPr>
    </w:p>
    <w:p>
      <w:pPr>
        <w:pStyle w:val="2"/>
        <w:ind w:left="0" w:leftChars="0" w:firstLine="0" w:firstLineChars="0"/>
        <w:jc w:val="center"/>
        <w:rPr>
          <w:rFonts w:hint="default" w:ascii="Arial" w:hAnsi="Arial" w:eastAsia="黑体"/>
          <w:sz w:val="28"/>
          <w:szCs w:val="32"/>
        </w:rPr>
      </w:pPr>
      <w:r>
        <w:rPr>
          <w:rFonts w:ascii="Arial" w:hAnsi="Arial" w:eastAsia="黑体"/>
          <w:sz w:val="28"/>
          <w:szCs w:val="32"/>
        </w:rPr>
        <w:t>（四）国家院线合作协议书</w:t>
      </w:r>
    </w:p>
    <w:p>
      <w:pPr>
        <w:tabs>
          <w:tab w:val="left" w:pos="816"/>
        </w:tabs>
        <w:ind w:firstLine="480" w:firstLineChars="200"/>
        <w:jc w:val="left"/>
      </w:pPr>
      <w:r>
        <w:rPr>
          <w:rFonts w:hint="eastAsia"/>
          <w:sz w:val="24"/>
          <w:szCs w:val="32"/>
        </w:rPr>
        <w:t>提供与国家正规院线签订的合作协议书复印件并加盖公章。</w:t>
      </w: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2"/>
        <w:spacing w:line="440" w:lineRule="exact"/>
        <w:ind w:firstLine="420"/>
        <w:rPr>
          <w:rFonts w:hint="default"/>
        </w:rPr>
      </w:pPr>
    </w:p>
    <w:p>
      <w:pPr>
        <w:pStyle w:val="5"/>
        <w:jc w:val="center"/>
        <w:rPr>
          <w:rFonts w:ascii="宋体" w:hAnsi="宋体"/>
          <w:spacing w:val="8"/>
          <w:sz w:val="24"/>
        </w:rPr>
      </w:pPr>
      <w:bookmarkStart w:id="730" w:name="_Toc13085"/>
      <w:bookmarkStart w:id="731" w:name="_Toc14317"/>
      <w:bookmarkStart w:id="732" w:name="_Toc15000"/>
      <w:bookmarkStart w:id="733" w:name="_Toc6337"/>
      <w:bookmarkStart w:id="734" w:name="_Toc27359"/>
      <w:bookmarkStart w:id="735" w:name="_Toc31304"/>
      <w:bookmarkStart w:id="736" w:name="_Toc144974871"/>
      <w:bookmarkStart w:id="737" w:name="_Toc179632823"/>
      <w:bookmarkStart w:id="738" w:name="_Toc152042592"/>
      <w:bookmarkStart w:id="739" w:name="_Toc152045803"/>
      <w:r>
        <w:rPr>
          <w:rFonts w:hint="eastAsia"/>
        </w:rPr>
        <w:t>五、运营方案</w:t>
      </w:r>
      <w:bookmarkEnd w:id="730"/>
      <w:bookmarkEnd w:id="731"/>
      <w:bookmarkEnd w:id="732"/>
      <w:bookmarkEnd w:id="733"/>
      <w:bookmarkEnd w:id="734"/>
    </w:p>
    <w:p>
      <w:pPr>
        <w:spacing w:line="440" w:lineRule="exact"/>
        <w:ind w:firstLine="480" w:firstLineChars="200"/>
        <w:rPr>
          <w:sz w:val="24"/>
        </w:rPr>
      </w:pPr>
      <w:r>
        <w:rPr>
          <w:rFonts w:hint="eastAsia" w:ascii="宋体" w:hAnsi="宋体"/>
          <w:sz w:val="24"/>
        </w:rPr>
        <w:t>申请人根据该项目的特点，结合项目实际和自身的经验，从装修、设备选择、运营等三个方面编制项目运营构想，格式自拟。</w:t>
      </w:r>
      <w:r>
        <w:rPr>
          <w:rFonts w:hint="eastAsia"/>
          <w:sz w:val="24"/>
        </w:rPr>
        <w:br w:type="page"/>
      </w:r>
    </w:p>
    <w:bookmarkEnd w:id="735"/>
    <w:p>
      <w:pPr>
        <w:pStyle w:val="5"/>
        <w:jc w:val="center"/>
      </w:pPr>
      <w:bookmarkStart w:id="740" w:name="_Toc12437"/>
      <w:bookmarkStart w:id="741" w:name="_Toc21699"/>
      <w:bookmarkStart w:id="742" w:name="_Toc20309"/>
      <w:bookmarkStart w:id="743" w:name="_Toc8058"/>
      <w:bookmarkStart w:id="744" w:name="_Toc5682"/>
      <w:r>
        <w:rPr>
          <w:rFonts w:hint="eastAsia"/>
        </w:rPr>
        <w:t>六、拟派服务团队人员情况</w:t>
      </w:r>
      <w:bookmarkEnd w:id="740"/>
      <w:bookmarkEnd w:id="741"/>
      <w:bookmarkEnd w:id="742"/>
      <w:bookmarkEnd w:id="743"/>
      <w:bookmarkEnd w:id="744"/>
    </w:p>
    <w:tbl>
      <w:tblPr>
        <w:tblStyle w:val="19"/>
        <w:tblW w:w="9530" w:type="dxa"/>
        <w:jc w:val="center"/>
        <w:tblLayout w:type="fixed"/>
        <w:tblCellMar>
          <w:top w:w="0" w:type="dxa"/>
          <w:left w:w="0" w:type="dxa"/>
          <w:bottom w:w="0" w:type="dxa"/>
          <w:right w:w="0" w:type="dxa"/>
        </w:tblCellMar>
      </w:tblPr>
      <w:tblGrid>
        <w:gridCol w:w="1292"/>
        <w:gridCol w:w="1127"/>
        <w:gridCol w:w="922"/>
        <w:gridCol w:w="2787"/>
        <w:gridCol w:w="1418"/>
        <w:gridCol w:w="1984"/>
      </w:tblGrid>
      <w:tr>
        <w:tblPrEx>
          <w:tblCellMar>
            <w:top w:w="0" w:type="dxa"/>
            <w:left w:w="0" w:type="dxa"/>
            <w:bottom w:w="0" w:type="dxa"/>
            <w:right w:w="0" w:type="dxa"/>
          </w:tblCellMar>
        </w:tblPrEx>
        <w:trPr>
          <w:trHeight w:val="1006" w:hRule="exact"/>
          <w:jc w:val="center"/>
        </w:trPr>
        <w:tc>
          <w:tcPr>
            <w:tcW w:w="1292" w:type="dxa"/>
            <w:tcBorders>
              <w:top w:val="single" w:color="000000" w:sz="4" w:space="0"/>
              <w:left w:val="single" w:color="000000" w:sz="4" w:space="0"/>
              <w:bottom w:val="single" w:color="000000" w:sz="4" w:space="0"/>
              <w:right w:val="single" w:color="000000" w:sz="4" w:space="0"/>
            </w:tcBorders>
            <w:vAlign w:val="center"/>
          </w:tcPr>
          <w:p>
            <w:pPr>
              <w:pStyle w:val="79"/>
              <w:ind w:right="-5"/>
              <w:jc w:val="center"/>
              <w:rPr>
                <w:rFonts w:ascii="宋体" w:hAnsi="宋体" w:eastAsia="宋体" w:cs="宋体"/>
                <w:sz w:val="24"/>
              </w:rPr>
            </w:pPr>
            <w:r>
              <w:rPr>
                <w:rFonts w:ascii="宋体" w:hAnsi="宋体" w:eastAsia="宋体" w:cs="宋体"/>
                <w:b/>
                <w:bCs/>
                <w:sz w:val="24"/>
              </w:rPr>
              <w:t>职责分工</w:t>
            </w: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79"/>
              <w:ind w:left="220"/>
              <w:rPr>
                <w:rFonts w:ascii="宋体" w:hAnsi="宋体" w:eastAsia="宋体" w:cs="宋体"/>
                <w:sz w:val="24"/>
              </w:rPr>
            </w:pPr>
            <w:r>
              <w:rPr>
                <w:rFonts w:ascii="宋体" w:hAnsi="宋体" w:eastAsia="宋体" w:cs="宋体"/>
                <w:b/>
                <w:bCs/>
                <w:sz w:val="24"/>
              </w:rPr>
              <w:t>姓名</w:t>
            </w:r>
          </w:p>
        </w:tc>
        <w:tc>
          <w:tcPr>
            <w:tcW w:w="922" w:type="dxa"/>
            <w:tcBorders>
              <w:top w:val="single" w:color="000000" w:sz="4" w:space="0"/>
              <w:left w:val="single" w:color="000000" w:sz="4" w:space="0"/>
              <w:bottom w:val="single" w:color="000000" w:sz="4" w:space="0"/>
              <w:right w:val="single" w:color="000000" w:sz="4" w:space="0"/>
            </w:tcBorders>
            <w:vAlign w:val="center"/>
          </w:tcPr>
          <w:p>
            <w:pPr>
              <w:pStyle w:val="79"/>
              <w:ind w:left="211"/>
              <w:rPr>
                <w:rFonts w:ascii="宋体" w:hAnsi="宋体" w:eastAsia="宋体" w:cs="宋体"/>
                <w:sz w:val="24"/>
              </w:rPr>
            </w:pPr>
            <w:r>
              <w:rPr>
                <w:rFonts w:ascii="宋体" w:hAnsi="宋体" w:eastAsia="宋体" w:cs="宋体"/>
                <w:b/>
                <w:bCs/>
                <w:sz w:val="24"/>
              </w:rPr>
              <w:t>职务</w:t>
            </w:r>
          </w:p>
        </w:tc>
        <w:tc>
          <w:tcPr>
            <w:tcW w:w="2787" w:type="dxa"/>
            <w:tcBorders>
              <w:top w:val="single" w:color="000000" w:sz="4" w:space="0"/>
              <w:left w:val="single" w:color="000000" w:sz="4" w:space="0"/>
              <w:bottom w:val="single" w:color="000000" w:sz="4" w:space="0"/>
              <w:right w:val="single" w:color="000000" w:sz="4" w:space="0"/>
            </w:tcBorders>
            <w:vAlign w:val="center"/>
          </w:tcPr>
          <w:p>
            <w:pPr>
              <w:pStyle w:val="79"/>
              <w:ind w:left="290"/>
              <w:jc w:val="center"/>
              <w:rPr>
                <w:rFonts w:ascii="宋体" w:hAnsi="宋体" w:eastAsia="宋体" w:cs="宋体"/>
                <w:sz w:val="24"/>
              </w:rPr>
            </w:pPr>
            <w:r>
              <w:rPr>
                <w:rFonts w:ascii="宋体" w:hAnsi="宋体" w:eastAsia="宋体" w:cs="宋体"/>
                <w:b/>
                <w:bCs/>
                <w:sz w:val="24"/>
              </w:rPr>
              <w:t>同类项目经历</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79"/>
              <w:ind w:left="218"/>
              <w:rPr>
                <w:rFonts w:ascii="宋体" w:hAnsi="宋体" w:eastAsia="宋体" w:cs="宋体"/>
                <w:sz w:val="24"/>
              </w:rPr>
            </w:pPr>
            <w:r>
              <w:rPr>
                <w:rFonts w:ascii="宋体" w:hAnsi="宋体" w:eastAsia="宋体" w:cs="宋体"/>
                <w:b/>
                <w:bCs/>
                <w:sz w:val="24"/>
              </w:rPr>
              <w:t>专业工龄</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79"/>
              <w:ind w:left="715" w:right="168" w:hanging="538"/>
              <w:jc w:val="center"/>
              <w:rPr>
                <w:rFonts w:ascii="宋体" w:hAnsi="宋体" w:eastAsia="宋体" w:cs="宋体"/>
                <w:sz w:val="24"/>
              </w:rPr>
            </w:pPr>
            <w:r>
              <w:rPr>
                <w:rFonts w:ascii="宋体" w:hAnsi="宋体" w:eastAsia="宋体" w:cs="宋体"/>
                <w:b/>
                <w:bCs/>
                <w:sz w:val="24"/>
              </w:rPr>
              <w:t>联系电话/手机</w:t>
            </w:r>
          </w:p>
        </w:tc>
      </w:tr>
      <w:tr>
        <w:tblPrEx>
          <w:tblCellMar>
            <w:top w:w="0" w:type="dxa"/>
            <w:left w:w="0" w:type="dxa"/>
            <w:bottom w:w="0" w:type="dxa"/>
            <w:right w:w="0" w:type="dxa"/>
          </w:tblCellMar>
        </w:tblPrEx>
        <w:trPr>
          <w:trHeight w:val="1006" w:hRule="exact"/>
          <w:jc w:val="center"/>
        </w:trPr>
        <w:tc>
          <w:tcPr>
            <w:tcW w:w="1292" w:type="dxa"/>
            <w:tcBorders>
              <w:top w:val="single" w:color="000000" w:sz="4" w:space="0"/>
              <w:left w:val="single" w:color="000000" w:sz="4" w:space="0"/>
              <w:bottom w:val="single" w:color="000000" w:sz="4" w:space="0"/>
              <w:right w:val="single" w:color="000000" w:sz="4" w:space="0"/>
            </w:tcBorders>
            <w:vAlign w:val="center"/>
          </w:tcPr>
          <w:p>
            <w:pPr>
              <w:pStyle w:val="79"/>
              <w:spacing w:before="181" w:line="310" w:lineRule="exact"/>
              <w:ind w:left="108" w:right="-8"/>
              <w:jc w:val="center"/>
              <w:rPr>
                <w:rFonts w:ascii="宋体" w:hAnsi="宋体" w:eastAsia="宋体" w:cs="宋体"/>
                <w:sz w:val="24"/>
              </w:rPr>
            </w:pPr>
            <w:r>
              <w:rPr>
                <w:rFonts w:hint="eastAsia" w:ascii="宋体" w:hAnsi="宋体" w:eastAsia="宋体" w:cs="宋体"/>
                <w:sz w:val="24"/>
              </w:rPr>
              <w:t>负责人</w:t>
            </w:r>
          </w:p>
        </w:tc>
        <w:tc>
          <w:tcPr>
            <w:tcW w:w="1127" w:type="dxa"/>
            <w:tcBorders>
              <w:top w:val="single" w:color="000000" w:sz="4" w:space="0"/>
              <w:left w:val="single" w:color="000000" w:sz="4" w:space="0"/>
              <w:bottom w:val="single" w:color="000000" w:sz="4" w:space="0"/>
              <w:right w:val="single" w:color="000000" w:sz="4" w:space="0"/>
            </w:tcBorders>
          </w:tcPr>
          <w:p>
            <w:pPr>
              <w:pStyle w:val="79"/>
              <w:ind w:left="112"/>
              <w:jc w:val="center"/>
              <w:rPr>
                <w:rFonts w:ascii="宋体" w:hAnsi="宋体" w:eastAsia="宋体" w:cs="宋体"/>
                <w:sz w:val="24"/>
              </w:rPr>
            </w:pPr>
          </w:p>
        </w:tc>
        <w:tc>
          <w:tcPr>
            <w:tcW w:w="922" w:type="dxa"/>
            <w:tcBorders>
              <w:top w:val="single" w:color="000000" w:sz="4" w:space="0"/>
              <w:left w:val="single" w:color="000000" w:sz="4" w:space="0"/>
              <w:bottom w:val="single" w:color="000000" w:sz="4" w:space="0"/>
              <w:right w:val="single" w:color="000000" w:sz="4" w:space="0"/>
            </w:tcBorders>
          </w:tcPr>
          <w:p>
            <w:pPr>
              <w:pStyle w:val="79"/>
              <w:ind w:left="114"/>
              <w:jc w:val="center"/>
              <w:rPr>
                <w:rFonts w:ascii="宋体" w:hAnsi="宋体" w:eastAsia="宋体" w:cs="宋体"/>
                <w:sz w:val="24"/>
              </w:rPr>
            </w:pPr>
          </w:p>
        </w:tc>
        <w:tc>
          <w:tcPr>
            <w:tcW w:w="2787" w:type="dxa"/>
            <w:tcBorders>
              <w:top w:val="single" w:color="000000" w:sz="4" w:space="0"/>
              <w:left w:val="single" w:color="000000" w:sz="4" w:space="0"/>
              <w:bottom w:val="single" w:color="000000" w:sz="4" w:space="0"/>
              <w:right w:val="single" w:color="000000" w:sz="4" w:space="0"/>
            </w:tcBorders>
          </w:tcPr>
          <w:p>
            <w:pPr>
              <w:pStyle w:val="79"/>
              <w:ind w:left="117"/>
              <w:jc w:val="center"/>
              <w:rPr>
                <w:rFonts w:ascii="宋体" w:hAnsi="宋体" w:eastAsia="宋体" w:cs="宋体"/>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9"/>
              <w:ind w:left="132"/>
              <w:jc w:val="center"/>
              <w:rPr>
                <w:rFonts w:ascii="宋体" w:hAnsi="宋体" w:eastAsia="宋体" w:cs="宋体"/>
                <w:sz w:val="24"/>
              </w:rPr>
            </w:pPr>
          </w:p>
        </w:tc>
        <w:tc>
          <w:tcPr>
            <w:tcW w:w="1984" w:type="dxa"/>
            <w:tcBorders>
              <w:top w:val="single" w:color="000000" w:sz="4" w:space="0"/>
              <w:left w:val="single" w:color="000000" w:sz="4" w:space="0"/>
              <w:bottom w:val="single" w:color="000000" w:sz="4" w:space="0"/>
              <w:right w:val="single" w:color="000000" w:sz="4" w:space="0"/>
            </w:tcBorders>
          </w:tcPr>
          <w:p>
            <w:pPr>
              <w:pStyle w:val="79"/>
              <w:ind w:left="126"/>
              <w:jc w:val="center"/>
              <w:rPr>
                <w:rFonts w:ascii="宋体" w:hAnsi="宋体" w:eastAsia="宋体" w:cs="宋体"/>
                <w:sz w:val="24"/>
              </w:rPr>
            </w:pPr>
          </w:p>
        </w:tc>
      </w:tr>
      <w:tr>
        <w:tblPrEx>
          <w:tblCellMar>
            <w:top w:w="0" w:type="dxa"/>
            <w:left w:w="0" w:type="dxa"/>
            <w:bottom w:w="0" w:type="dxa"/>
            <w:right w:w="0" w:type="dxa"/>
          </w:tblCellMar>
        </w:tblPrEx>
        <w:trPr>
          <w:trHeight w:val="569" w:hRule="exact"/>
          <w:jc w:val="center"/>
        </w:trPr>
        <w:tc>
          <w:tcPr>
            <w:tcW w:w="1292" w:type="dxa"/>
            <w:vMerge w:val="restart"/>
            <w:tcBorders>
              <w:top w:val="single" w:color="000000" w:sz="4" w:space="0"/>
              <w:left w:val="single" w:color="000000" w:sz="4" w:space="0"/>
              <w:right w:val="single" w:color="000000" w:sz="4" w:space="0"/>
            </w:tcBorders>
          </w:tcPr>
          <w:p>
            <w:pPr>
              <w:pStyle w:val="79"/>
              <w:jc w:val="left"/>
              <w:rPr>
                <w:rFonts w:ascii="微软雅黑" w:hAnsi="微软雅黑" w:eastAsia="微软雅黑" w:cs="微软雅黑"/>
                <w:b/>
                <w:bCs/>
                <w:sz w:val="24"/>
              </w:rPr>
            </w:pPr>
          </w:p>
          <w:p>
            <w:pPr>
              <w:pStyle w:val="79"/>
              <w:jc w:val="left"/>
              <w:rPr>
                <w:rFonts w:ascii="微软雅黑" w:hAnsi="微软雅黑" w:eastAsia="微软雅黑" w:cs="微软雅黑"/>
                <w:b/>
                <w:bCs/>
                <w:sz w:val="24"/>
              </w:rPr>
            </w:pPr>
          </w:p>
          <w:p>
            <w:pPr>
              <w:pStyle w:val="79"/>
              <w:spacing w:before="7"/>
              <w:jc w:val="left"/>
              <w:rPr>
                <w:rFonts w:ascii="微软雅黑" w:hAnsi="微软雅黑" w:eastAsia="微软雅黑" w:cs="微软雅黑"/>
                <w:b/>
                <w:bCs/>
                <w:sz w:val="15"/>
                <w:szCs w:val="15"/>
              </w:rPr>
            </w:pPr>
          </w:p>
          <w:p>
            <w:pPr>
              <w:pStyle w:val="79"/>
              <w:spacing w:line="312" w:lineRule="exact"/>
              <w:ind w:left="108" w:right="-8"/>
              <w:jc w:val="left"/>
              <w:rPr>
                <w:rFonts w:ascii="宋体" w:hAnsi="宋体" w:eastAsia="宋体" w:cs="宋体"/>
                <w:sz w:val="24"/>
              </w:rPr>
            </w:pPr>
            <w:r>
              <w:rPr>
                <w:rFonts w:ascii="宋体" w:hAnsi="宋体" w:eastAsia="宋体" w:cs="宋体"/>
                <w:sz w:val="24"/>
              </w:rPr>
              <w:t xml:space="preserve">其他人员 </w:t>
            </w:r>
          </w:p>
        </w:tc>
        <w:tc>
          <w:tcPr>
            <w:tcW w:w="1127" w:type="dxa"/>
            <w:tcBorders>
              <w:top w:val="single" w:color="000000" w:sz="4" w:space="0"/>
              <w:left w:val="single" w:color="000000" w:sz="4" w:space="0"/>
              <w:bottom w:val="single" w:color="000000" w:sz="4" w:space="0"/>
              <w:right w:val="single" w:color="000000" w:sz="4" w:space="0"/>
            </w:tcBorders>
          </w:tcPr>
          <w:p>
            <w:pPr>
              <w:pStyle w:val="79"/>
              <w:spacing w:before="85"/>
              <w:ind w:left="112"/>
              <w:jc w:val="center"/>
              <w:rPr>
                <w:rFonts w:ascii="宋体" w:hAnsi="宋体" w:eastAsia="宋体" w:cs="宋体"/>
                <w:sz w:val="24"/>
              </w:rPr>
            </w:pPr>
          </w:p>
        </w:tc>
        <w:tc>
          <w:tcPr>
            <w:tcW w:w="922" w:type="dxa"/>
            <w:tcBorders>
              <w:top w:val="single" w:color="000000" w:sz="4" w:space="0"/>
              <w:left w:val="single" w:color="000000" w:sz="4" w:space="0"/>
              <w:bottom w:val="single" w:color="000000" w:sz="4" w:space="0"/>
              <w:right w:val="single" w:color="000000" w:sz="4" w:space="0"/>
            </w:tcBorders>
          </w:tcPr>
          <w:p>
            <w:pPr>
              <w:pStyle w:val="79"/>
              <w:spacing w:before="85"/>
              <w:ind w:left="114"/>
              <w:jc w:val="center"/>
              <w:rPr>
                <w:rFonts w:ascii="宋体" w:hAnsi="宋体" w:eastAsia="宋体" w:cs="宋体"/>
                <w:sz w:val="24"/>
              </w:rPr>
            </w:pPr>
          </w:p>
        </w:tc>
        <w:tc>
          <w:tcPr>
            <w:tcW w:w="2787" w:type="dxa"/>
            <w:tcBorders>
              <w:top w:val="single" w:color="000000" w:sz="4" w:space="0"/>
              <w:left w:val="single" w:color="000000" w:sz="4" w:space="0"/>
              <w:bottom w:val="single" w:color="000000" w:sz="4" w:space="0"/>
              <w:right w:val="single" w:color="000000" w:sz="4" w:space="0"/>
            </w:tcBorders>
          </w:tcPr>
          <w:p>
            <w:pPr>
              <w:pStyle w:val="79"/>
              <w:spacing w:before="85"/>
              <w:ind w:left="117"/>
              <w:jc w:val="center"/>
              <w:rPr>
                <w:rFonts w:ascii="宋体" w:hAnsi="宋体" w:eastAsia="宋体" w:cs="宋体"/>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9"/>
              <w:spacing w:before="85"/>
              <w:ind w:left="118"/>
              <w:jc w:val="center"/>
              <w:rPr>
                <w:rFonts w:ascii="宋体" w:hAnsi="宋体" w:eastAsia="宋体" w:cs="宋体"/>
                <w:sz w:val="24"/>
              </w:rPr>
            </w:pPr>
          </w:p>
        </w:tc>
        <w:tc>
          <w:tcPr>
            <w:tcW w:w="1984" w:type="dxa"/>
            <w:tcBorders>
              <w:top w:val="single" w:color="000000" w:sz="4" w:space="0"/>
              <w:left w:val="single" w:color="000000" w:sz="4" w:space="0"/>
              <w:bottom w:val="single" w:color="000000" w:sz="4" w:space="0"/>
              <w:right w:val="single" w:color="000000" w:sz="4" w:space="0"/>
            </w:tcBorders>
          </w:tcPr>
          <w:p>
            <w:pPr>
              <w:pStyle w:val="79"/>
              <w:spacing w:before="85"/>
              <w:ind w:left="117"/>
              <w:jc w:val="center"/>
              <w:rPr>
                <w:rFonts w:ascii="宋体" w:hAnsi="宋体" w:eastAsia="宋体" w:cs="宋体"/>
                <w:sz w:val="24"/>
              </w:rPr>
            </w:pPr>
          </w:p>
        </w:tc>
      </w:tr>
      <w:tr>
        <w:tblPrEx>
          <w:tblCellMar>
            <w:top w:w="0" w:type="dxa"/>
            <w:left w:w="0" w:type="dxa"/>
            <w:bottom w:w="0" w:type="dxa"/>
            <w:right w:w="0" w:type="dxa"/>
          </w:tblCellMar>
        </w:tblPrEx>
        <w:trPr>
          <w:trHeight w:val="566" w:hRule="exact"/>
          <w:jc w:val="center"/>
        </w:trPr>
        <w:tc>
          <w:tcPr>
            <w:tcW w:w="1292" w:type="dxa"/>
            <w:vMerge w:val="continue"/>
            <w:tcBorders>
              <w:left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pPr>
              <w:pStyle w:val="79"/>
              <w:spacing w:before="84"/>
              <w:ind w:left="112"/>
              <w:jc w:val="center"/>
              <w:rPr>
                <w:rFonts w:ascii="宋体" w:hAnsi="宋体" w:eastAsia="宋体" w:cs="宋体"/>
                <w:sz w:val="24"/>
              </w:rPr>
            </w:pPr>
          </w:p>
        </w:tc>
        <w:tc>
          <w:tcPr>
            <w:tcW w:w="922" w:type="dxa"/>
            <w:tcBorders>
              <w:top w:val="single" w:color="000000" w:sz="4" w:space="0"/>
              <w:left w:val="single" w:color="000000" w:sz="4" w:space="0"/>
              <w:bottom w:val="single" w:color="000000" w:sz="4" w:space="0"/>
              <w:right w:val="single" w:color="000000" w:sz="4" w:space="0"/>
            </w:tcBorders>
          </w:tcPr>
          <w:p>
            <w:pPr>
              <w:pStyle w:val="79"/>
              <w:spacing w:before="84"/>
              <w:ind w:left="114"/>
              <w:jc w:val="center"/>
              <w:rPr>
                <w:rFonts w:ascii="宋体" w:hAnsi="宋体" w:eastAsia="宋体" w:cs="宋体"/>
                <w:sz w:val="24"/>
              </w:rPr>
            </w:pPr>
          </w:p>
        </w:tc>
        <w:tc>
          <w:tcPr>
            <w:tcW w:w="2787"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9"/>
              <w:spacing w:before="84"/>
              <w:ind w:left="118"/>
              <w:jc w:val="center"/>
              <w:rPr>
                <w:rFonts w:ascii="宋体" w:hAnsi="宋体" w:eastAsia="宋体" w:cs="宋体"/>
                <w:sz w:val="24"/>
              </w:rPr>
            </w:pPr>
          </w:p>
        </w:tc>
        <w:tc>
          <w:tcPr>
            <w:tcW w:w="1984"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r>
      <w:tr>
        <w:tblPrEx>
          <w:tblCellMar>
            <w:top w:w="0" w:type="dxa"/>
            <w:left w:w="0" w:type="dxa"/>
            <w:bottom w:w="0" w:type="dxa"/>
            <w:right w:w="0" w:type="dxa"/>
          </w:tblCellMar>
        </w:tblPrEx>
        <w:trPr>
          <w:trHeight w:val="566" w:hRule="exact"/>
          <w:jc w:val="center"/>
        </w:trPr>
        <w:tc>
          <w:tcPr>
            <w:tcW w:w="1292" w:type="dxa"/>
            <w:vMerge w:val="continue"/>
            <w:tcBorders>
              <w:left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pPr>
              <w:pStyle w:val="79"/>
              <w:spacing w:before="84"/>
              <w:ind w:left="112"/>
              <w:jc w:val="center"/>
              <w:rPr>
                <w:rFonts w:ascii="宋体" w:hAnsi="宋体" w:eastAsia="宋体" w:cs="宋体"/>
                <w:sz w:val="24"/>
              </w:rPr>
            </w:pPr>
          </w:p>
        </w:tc>
        <w:tc>
          <w:tcPr>
            <w:tcW w:w="922" w:type="dxa"/>
            <w:tcBorders>
              <w:top w:val="single" w:color="000000" w:sz="4" w:space="0"/>
              <w:left w:val="single" w:color="000000" w:sz="4" w:space="0"/>
              <w:bottom w:val="single" w:color="000000" w:sz="4" w:space="0"/>
              <w:right w:val="single" w:color="000000" w:sz="4" w:space="0"/>
            </w:tcBorders>
          </w:tcPr>
          <w:p>
            <w:pPr>
              <w:pStyle w:val="79"/>
              <w:spacing w:before="84"/>
              <w:ind w:left="114"/>
              <w:jc w:val="center"/>
              <w:rPr>
                <w:rFonts w:ascii="宋体" w:hAnsi="宋体" w:eastAsia="宋体" w:cs="宋体"/>
                <w:sz w:val="24"/>
              </w:rPr>
            </w:pPr>
          </w:p>
        </w:tc>
        <w:tc>
          <w:tcPr>
            <w:tcW w:w="2787"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9"/>
              <w:spacing w:before="84"/>
              <w:ind w:left="118"/>
              <w:jc w:val="center"/>
              <w:rPr>
                <w:rFonts w:ascii="宋体" w:hAnsi="宋体" w:eastAsia="宋体" w:cs="宋体"/>
                <w:sz w:val="24"/>
              </w:rPr>
            </w:pPr>
          </w:p>
        </w:tc>
        <w:tc>
          <w:tcPr>
            <w:tcW w:w="1984"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r>
      <w:tr>
        <w:tblPrEx>
          <w:tblCellMar>
            <w:top w:w="0" w:type="dxa"/>
            <w:left w:w="0" w:type="dxa"/>
            <w:bottom w:w="0" w:type="dxa"/>
            <w:right w:w="0" w:type="dxa"/>
          </w:tblCellMar>
        </w:tblPrEx>
        <w:trPr>
          <w:trHeight w:val="566" w:hRule="exact"/>
          <w:jc w:val="center"/>
        </w:trPr>
        <w:tc>
          <w:tcPr>
            <w:tcW w:w="1292" w:type="dxa"/>
            <w:vMerge w:val="continue"/>
            <w:tcBorders>
              <w:left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pPr>
              <w:pStyle w:val="79"/>
              <w:spacing w:before="84"/>
              <w:ind w:left="112"/>
              <w:jc w:val="center"/>
              <w:rPr>
                <w:rFonts w:ascii="宋体" w:hAnsi="宋体" w:eastAsia="宋体" w:cs="宋体"/>
                <w:sz w:val="24"/>
              </w:rPr>
            </w:pPr>
          </w:p>
        </w:tc>
        <w:tc>
          <w:tcPr>
            <w:tcW w:w="922" w:type="dxa"/>
            <w:tcBorders>
              <w:top w:val="single" w:color="000000" w:sz="4" w:space="0"/>
              <w:left w:val="single" w:color="000000" w:sz="4" w:space="0"/>
              <w:bottom w:val="single" w:color="000000" w:sz="4" w:space="0"/>
              <w:right w:val="single" w:color="000000" w:sz="4" w:space="0"/>
            </w:tcBorders>
          </w:tcPr>
          <w:p>
            <w:pPr>
              <w:pStyle w:val="79"/>
              <w:spacing w:before="84"/>
              <w:ind w:left="114"/>
              <w:jc w:val="center"/>
              <w:rPr>
                <w:rFonts w:ascii="宋体" w:hAnsi="宋体" w:eastAsia="宋体" w:cs="宋体"/>
                <w:sz w:val="24"/>
              </w:rPr>
            </w:pPr>
          </w:p>
        </w:tc>
        <w:tc>
          <w:tcPr>
            <w:tcW w:w="2787"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9"/>
              <w:spacing w:before="84"/>
              <w:ind w:left="118"/>
              <w:jc w:val="center"/>
              <w:rPr>
                <w:rFonts w:ascii="宋体" w:hAnsi="宋体" w:eastAsia="宋体" w:cs="宋体"/>
                <w:sz w:val="24"/>
              </w:rPr>
            </w:pPr>
          </w:p>
        </w:tc>
        <w:tc>
          <w:tcPr>
            <w:tcW w:w="1984"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r>
      <w:tr>
        <w:tblPrEx>
          <w:tblCellMar>
            <w:top w:w="0" w:type="dxa"/>
            <w:left w:w="0" w:type="dxa"/>
            <w:bottom w:w="0" w:type="dxa"/>
            <w:right w:w="0" w:type="dxa"/>
          </w:tblCellMar>
        </w:tblPrEx>
        <w:trPr>
          <w:trHeight w:val="569" w:hRule="exact"/>
          <w:jc w:val="center"/>
        </w:trPr>
        <w:tc>
          <w:tcPr>
            <w:tcW w:w="1292" w:type="dxa"/>
            <w:vMerge w:val="continue"/>
            <w:tcBorders>
              <w:left w:val="single" w:color="000000" w:sz="4" w:space="0"/>
              <w:bottom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pPr>
              <w:pStyle w:val="79"/>
              <w:spacing w:before="84"/>
              <w:ind w:left="112"/>
              <w:jc w:val="center"/>
              <w:rPr>
                <w:rFonts w:ascii="宋体" w:hAnsi="宋体" w:eastAsia="宋体" w:cs="宋体"/>
                <w:sz w:val="24"/>
              </w:rPr>
            </w:pPr>
          </w:p>
        </w:tc>
        <w:tc>
          <w:tcPr>
            <w:tcW w:w="922" w:type="dxa"/>
            <w:tcBorders>
              <w:top w:val="single" w:color="000000" w:sz="4" w:space="0"/>
              <w:left w:val="single" w:color="000000" w:sz="4" w:space="0"/>
              <w:bottom w:val="single" w:color="000000" w:sz="4" w:space="0"/>
              <w:right w:val="single" w:color="000000" w:sz="4" w:space="0"/>
            </w:tcBorders>
          </w:tcPr>
          <w:p>
            <w:pPr>
              <w:pStyle w:val="79"/>
              <w:spacing w:before="84"/>
              <w:ind w:left="114"/>
              <w:jc w:val="center"/>
              <w:rPr>
                <w:rFonts w:ascii="宋体" w:hAnsi="宋体" w:eastAsia="宋体" w:cs="宋体"/>
                <w:sz w:val="24"/>
              </w:rPr>
            </w:pPr>
          </w:p>
        </w:tc>
        <w:tc>
          <w:tcPr>
            <w:tcW w:w="2787"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9"/>
              <w:spacing w:before="84"/>
              <w:ind w:left="118"/>
              <w:jc w:val="center"/>
              <w:rPr>
                <w:rFonts w:ascii="宋体" w:hAnsi="宋体" w:eastAsia="宋体" w:cs="宋体"/>
                <w:sz w:val="24"/>
              </w:rPr>
            </w:pPr>
          </w:p>
        </w:tc>
        <w:tc>
          <w:tcPr>
            <w:tcW w:w="1984"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r>
    </w:tbl>
    <w:p>
      <w:pPr>
        <w:pStyle w:val="2"/>
        <w:ind w:firstLine="420"/>
        <w:rPr>
          <w:rFonts w:hint="default"/>
        </w:rPr>
      </w:pPr>
    </w:p>
    <w:p>
      <w:pPr>
        <w:pStyle w:val="10"/>
        <w:spacing w:before="26"/>
        <w:ind w:left="138"/>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备注：</w:t>
      </w:r>
    </w:p>
    <w:p>
      <w:pPr>
        <w:pStyle w:val="10"/>
        <w:spacing w:before="154"/>
        <w:ind w:left="138"/>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1、投标人可根据自身情况自行附加相应证明材料。</w:t>
      </w:r>
    </w:p>
    <w:p>
      <w:pPr>
        <w:pStyle w:val="10"/>
        <w:spacing w:before="154" w:line="312" w:lineRule="exact"/>
        <w:ind w:left="138"/>
        <w:jc w:val="left"/>
        <w:rPr>
          <w:rFonts w:asciiTheme="minorEastAsia" w:hAnsiTheme="minorEastAsia" w:eastAsiaTheme="minorEastAsia" w:cstheme="minorEastAsia"/>
          <w:sz w:val="21"/>
          <w:szCs w:val="21"/>
        </w:rPr>
      </w:pPr>
    </w:p>
    <w:p>
      <w:pPr>
        <w:pStyle w:val="10"/>
        <w:spacing w:before="154" w:line="312" w:lineRule="exact"/>
        <w:ind w:left="138"/>
        <w:jc w:val="left"/>
        <w:rPr>
          <w:rFonts w:asciiTheme="minorEastAsia" w:hAnsiTheme="minorEastAsia" w:eastAsiaTheme="minorEastAsia" w:cstheme="minorEastAsia"/>
          <w:sz w:val="21"/>
          <w:szCs w:val="21"/>
        </w:rPr>
      </w:pPr>
    </w:p>
    <w:p>
      <w:pPr>
        <w:pStyle w:val="10"/>
        <w:spacing w:line="311" w:lineRule="exact"/>
        <w:ind w:left="138"/>
        <w:jc w:val="left"/>
        <w:rPr>
          <w:rFonts w:asciiTheme="minorEastAsia" w:hAnsiTheme="minorEastAsia" w:eastAsiaTheme="minorEastAsia" w:cstheme="minorEastAsia"/>
          <w:sz w:val="21"/>
          <w:szCs w:val="21"/>
        </w:rPr>
      </w:pPr>
    </w:p>
    <w:p>
      <w:pPr>
        <w:pStyle w:val="10"/>
        <w:spacing w:line="312" w:lineRule="exact"/>
        <w:ind w:left="138"/>
        <w:jc w:val="left"/>
        <w:rPr>
          <w:rFonts w:asciiTheme="minorEastAsia" w:hAnsiTheme="minorEastAsia" w:eastAsiaTheme="minorEastAsia" w:cstheme="minorEastAsia"/>
          <w:sz w:val="21"/>
          <w:szCs w:val="21"/>
        </w:rPr>
      </w:pPr>
    </w:p>
    <w:p>
      <w:pPr>
        <w:pStyle w:val="10"/>
        <w:spacing w:line="313" w:lineRule="exact"/>
        <w:ind w:left="138"/>
        <w:jc w:val="left"/>
        <w:rPr>
          <w:rFonts w:asciiTheme="minorEastAsia" w:hAnsiTheme="minorEastAsia" w:eastAsiaTheme="minorEastAsia" w:cstheme="minorEastAsia"/>
        </w:rPr>
      </w:pPr>
    </w:p>
    <w:p>
      <w:pPr>
        <w:pStyle w:val="10"/>
        <w:spacing w:line="475" w:lineRule="auto"/>
        <w:ind w:right="343"/>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7"/>
        </w:rPr>
        <w:t>投标人名称（公章）：</w:t>
      </w:r>
    </w:p>
    <w:p>
      <w:pPr>
        <w:pStyle w:val="10"/>
        <w:spacing w:line="475" w:lineRule="auto"/>
        <w:ind w:right="343"/>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7"/>
        </w:rPr>
        <w:t>法定代表人或其授权代表（签章）：</w:t>
      </w:r>
    </w:p>
    <w:p>
      <w:pPr>
        <w:pStyle w:val="10"/>
        <w:spacing w:line="475" w:lineRule="auto"/>
        <w:ind w:right="343"/>
        <w:rPr>
          <w:rFonts w:asciiTheme="minorEastAsia" w:hAnsiTheme="minorEastAsia" w:eastAsiaTheme="minorEastAsia" w:cstheme="minorEastAsia"/>
        </w:rPr>
      </w:pPr>
      <w:r>
        <w:rPr>
          <w:rFonts w:hint="eastAsia" w:asciiTheme="minorEastAsia" w:hAnsiTheme="minorEastAsia" w:eastAsiaTheme="minorEastAsia" w:cstheme="minorEastAsia"/>
          <w:spacing w:val="7"/>
        </w:rPr>
        <w:t xml:space="preserve">日期：       年       </w:t>
      </w:r>
      <w:r>
        <w:rPr>
          <w:rFonts w:hint="eastAsia" w:asciiTheme="minorEastAsia" w:hAnsiTheme="minorEastAsia" w:eastAsiaTheme="minorEastAsia" w:cstheme="minorEastAsia"/>
          <w:spacing w:val="10"/>
        </w:rPr>
        <w:t xml:space="preserve">月     </w:t>
      </w:r>
      <w:r>
        <w:rPr>
          <w:rFonts w:hint="eastAsia" w:asciiTheme="minorEastAsia" w:hAnsiTheme="minorEastAsia" w:eastAsiaTheme="minorEastAsia" w:cstheme="minorEastAsia"/>
          <w:spacing w:val="7"/>
        </w:rPr>
        <w:t>日</w:t>
      </w:r>
    </w:p>
    <w:p>
      <w:pPr>
        <w:rPr>
          <w:rFonts w:ascii="宋体" w:hAnsi="宋体" w:eastAsia="宋体" w:cs="宋体"/>
          <w:sz w:val="20"/>
          <w:szCs w:val="20"/>
          <w:highlight w:val="yellow"/>
        </w:rPr>
      </w:pPr>
    </w:p>
    <w:p>
      <w:pPr>
        <w:rPr>
          <w:rFonts w:ascii="宋体" w:hAnsi="宋体" w:eastAsia="宋体" w:cs="宋体"/>
          <w:sz w:val="20"/>
          <w:szCs w:val="20"/>
        </w:rPr>
      </w:pPr>
    </w:p>
    <w:bookmarkEnd w:id="736"/>
    <w:bookmarkEnd w:id="737"/>
    <w:bookmarkEnd w:id="738"/>
    <w:bookmarkEnd w:id="739"/>
    <w:p>
      <w:pPr>
        <w:jc w:val="left"/>
      </w:pPr>
      <w:r>
        <w:br w:type="page"/>
      </w:r>
    </w:p>
    <w:p>
      <w:pPr>
        <w:jc w:val="cente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4"/>
        <w:jc w:val="center"/>
      </w:pPr>
      <w:bookmarkStart w:id="745" w:name="_Toc23281"/>
      <w:bookmarkStart w:id="746" w:name="_Toc24759"/>
      <w:r>
        <w:rPr>
          <w:rFonts w:hint="eastAsia"/>
        </w:rPr>
        <w:t>第五章合同范本</w:t>
      </w:r>
      <w:bookmarkEnd w:id="745"/>
      <w:bookmarkEnd w:id="746"/>
    </w:p>
    <w:p>
      <w:pPr>
        <w:jc w:val="left"/>
        <w:rPr>
          <w:rFonts w:ascii="黑体" w:hAnsi="黑体" w:eastAsia="黑体"/>
          <w:b/>
          <w:color w:val="000000"/>
          <w:sz w:val="44"/>
          <w:szCs w:val="44"/>
        </w:rPr>
      </w:pPr>
      <w:r>
        <w:rPr>
          <w:rFonts w:hint="eastAsia" w:ascii="黑体" w:hAnsi="黑体" w:eastAsia="黑体"/>
          <w:b/>
          <w:color w:val="000000"/>
          <w:sz w:val="44"/>
          <w:szCs w:val="44"/>
        </w:rPr>
        <w:br w:type="page"/>
      </w:r>
    </w:p>
    <w:p>
      <w:pPr>
        <w:spacing w:line="520" w:lineRule="exact"/>
        <w:jc w:val="center"/>
        <w:rPr>
          <w:rFonts w:ascii="黑体" w:hAnsi="黑体" w:eastAsia="黑体"/>
          <w:b/>
          <w:color w:val="000000"/>
          <w:sz w:val="44"/>
          <w:szCs w:val="44"/>
        </w:rPr>
      </w:pPr>
      <w:r>
        <w:rPr>
          <w:rFonts w:hint="eastAsia" w:ascii="黑体" w:hAnsi="黑体" w:eastAsia="黑体"/>
          <w:b/>
          <w:color w:val="000000"/>
          <w:sz w:val="44"/>
          <w:szCs w:val="44"/>
        </w:rPr>
        <w:t>景 州 文 体 中 心 电 影 场 馆</w:t>
      </w:r>
    </w:p>
    <w:p>
      <w:pPr>
        <w:spacing w:line="520" w:lineRule="exact"/>
        <w:jc w:val="center"/>
        <w:rPr>
          <w:rFonts w:ascii="黑体" w:hAnsi="黑体" w:eastAsia="黑体"/>
          <w:b/>
          <w:color w:val="000000"/>
          <w:sz w:val="44"/>
          <w:szCs w:val="44"/>
        </w:rPr>
      </w:pPr>
    </w:p>
    <w:p>
      <w:pPr>
        <w:spacing w:line="520" w:lineRule="exact"/>
        <w:jc w:val="center"/>
        <w:rPr>
          <w:rFonts w:ascii="黑体" w:hAnsi="黑体" w:eastAsia="黑体"/>
          <w:b/>
          <w:color w:val="000000"/>
          <w:sz w:val="44"/>
          <w:szCs w:val="44"/>
        </w:rPr>
      </w:pPr>
    </w:p>
    <w:p>
      <w:pPr>
        <w:spacing w:line="520" w:lineRule="exact"/>
        <w:jc w:val="center"/>
        <w:rPr>
          <w:rFonts w:ascii="黑体" w:hAnsi="黑体" w:eastAsia="黑体"/>
          <w:b/>
          <w:color w:val="000000"/>
          <w:sz w:val="44"/>
          <w:szCs w:val="44"/>
        </w:rPr>
      </w:pPr>
      <w:r>
        <w:rPr>
          <w:rFonts w:hint="eastAsia" w:ascii="黑体" w:hAnsi="黑体" w:eastAsia="黑体"/>
          <w:b/>
          <w:color w:val="000000"/>
          <w:sz w:val="44"/>
          <w:szCs w:val="44"/>
        </w:rPr>
        <w:t>委 托 运 营 服 务 合 同</w:t>
      </w:r>
    </w:p>
    <w:p>
      <w:pPr>
        <w:spacing w:line="520" w:lineRule="exact"/>
        <w:rPr>
          <w:b/>
          <w:color w:val="000000"/>
          <w:sz w:val="24"/>
        </w:rPr>
      </w:pPr>
    </w:p>
    <w:p>
      <w:pPr>
        <w:spacing w:line="520" w:lineRule="exact"/>
        <w:rPr>
          <w:b/>
          <w:color w:val="000000"/>
          <w:sz w:val="24"/>
        </w:rPr>
      </w:pPr>
    </w:p>
    <w:p>
      <w:pPr>
        <w:spacing w:line="520" w:lineRule="exact"/>
        <w:rPr>
          <w:b/>
          <w:color w:val="000000"/>
          <w:sz w:val="32"/>
          <w:szCs w:val="32"/>
        </w:rPr>
      </w:pPr>
    </w:p>
    <w:p>
      <w:pPr>
        <w:spacing w:line="520" w:lineRule="exact"/>
        <w:rPr>
          <w:b/>
          <w:color w:val="000000"/>
          <w:sz w:val="32"/>
          <w:szCs w:val="32"/>
        </w:rPr>
      </w:pPr>
    </w:p>
    <w:p>
      <w:pPr>
        <w:spacing w:line="520" w:lineRule="exact"/>
        <w:rPr>
          <w:b/>
          <w:color w:val="000000"/>
          <w:sz w:val="32"/>
          <w:szCs w:val="32"/>
        </w:rPr>
      </w:pPr>
    </w:p>
    <w:p>
      <w:pPr>
        <w:spacing w:line="520" w:lineRule="exact"/>
        <w:rPr>
          <w:b/>
          <w:color w:val="000000"/>
          <w:sz w:val="32"/>
          <w:szCs w:val="32"/>
        </w:rPr>
      </w:pPr>
    </w:p>
    <w:p>
      <w:pPr>
        <w:spacing w:line="520" w:lineRule="exact"/>
        <w:rPr>
          <w:b/>
          <w:color w:val="000000"/>
          <w:sz w:val="32"/>
          <w:szCs w:val="32"/>
        </w:rPr>
      </w:pPr>
    </w:p>
    <w:p>
      <w:pPr>
        <w:spacing w:line="520" w:lineRule="exact"/>
        <w:rPr>
          <w:b/>
          <w:color w:val="000000"/>
          <w:sz w:val="32"/>
          <w:szCs w:val="32"/>
        </w:rPr>
      </w:pPr>
    </w:p>
    <w:p>
      <w:pPr>
        <w:spacing w:line="520" w:lineRule="exact"/>
        <w:rPr>
          <w:b/>
          <w:color w:val="000000"/>
          <w:sz w:val="32"/>
          <w:szCs w:val="32"/>
        </w:rPr>
      </w:pPr>
    </w:p>
    <w:p>
      <w:pPr>
        <w:spacing w:line="520" w:lineRule="exact"/>
        <w:rPr>
          <w:b/>
          <w:color w:val="000000"/>
          <w:sz w:val="24"/>
        </w:rPr>
      </w:pPr>
    </w:p>
    <w:p>
      <w:pPr>
        <w:spacing w:line="520" w:lineRule="exact"/>
        <w:rPr>
          <w:b/>
          <w:color w:val="000000"/>
          <w:sz w:val="24"/>
        </w:rPr>
      </w:pPr>
    </w:p>
    <w:p>
      <w:pPr>
        <w:spacing w:line="520" w:lineRule="exact"/>
        <w:rPr>
          <w:b/>
          <w:color w:val="000000"/>
          <w:sz w:val="24"/>
        </w:rPr>
      </w:pPr>
    </w:p>
    <w:p>
      <w:pPr>
        <w:spacing w:line="520" w:lineRule="exact"/>
        <w:rPr>
          <w:b/>
          <w:color w:val="000000"/>
          <w:sz w:val="32"/>
          <w:szCs w:val="32"/>
          <w:u w:val="single"/>
        </w:rPr>
      </w:pPr>
    </w:p>
    <w:p>
      <w:pPr>
        <w:spacing w:line="520" w:lineRule="exact"/>
        <w:jc w:val="center"/>
        <w:rPr>
          <w:b/>
          <w:color w:val="000000"/>
          <w:sz w:val="32"/>
          <w:szCs w:val="32"/>
          <w:u w:val="single"/>
        </w:rPr>
      </w:pPr>
      <w:r>
        <w:rPr>
          <w:rFonts w:hint="eastAsia"/>
          <w:b/>
          <w:color w:val="000000"/>
          <w:sz w:val="32"/>
          <w:szCs w:val="32"/>
          <w:u w:val="single"/>
        </w:rPr>
        <w:t>（范 本）</w:t>
      </w:r>
    </w:p>
    <w:p>
      <w:pPr>
        <w:spacing w:line="520" w:lineRule="exact"/>
        <w:jc w:val="center"/>
        <w:rPr>
          <w:b/>
          <w:color w:val="000000"/>
          <w:sz w:val="32"/>
          <w:szCs w:val="32"/>
        </w:rPr>
      </w:pPr>
    </w:p>
    <w:p>
      <w:pPr>
        <w:spacing w:line="480" w:lineRule="auto"/>
        <w:ind w:firstLine="2088" w:firstLineChars="650"/>
        <w:jc w:val="left"/>
        <w:rPr>
          <w:b/>
          <w:color w:val="000000"/>
          <w:sz w:val="32"/>
          <w:szCs w:val="32"/>
        </w:rPr>
      </w:pPr>
      <w:r>
        <w:rPr>
          <w:rFonts w:hint="eastAsia"/>
          <w:b/>
          <w:color w:val="000000"/>
          <w:sz w:val="32"/>
          <w:szCs w:val="32"/>
        </w:rPr>
        <w:t xml:space="preserve">签约地点： </w:t>
      </w:r>
    </w:p>
    <w:p>
      <w:pPr>
        <w:spacing w:line="480" w:lineRule="auto"/>
        <w:ind w:firstLine="2088" w:firstLineChars="650"/>
        <w:jc w:val="left"/>
        <w:rPr>
          <w:b/>
          <w:color w:val="000000"/>
          <w:sz w:val="32"/>
          <w:szCs w:val="32"/>
        </w:rPr>
      </w:pPr>
      <w:r>
        <w:rPr>
          <w:rFonts w:hint="eastAsia"/>
          <w:b/>
          <w:color w:val="000000"/>
          <w:sz w:val="32"/>
          <w:szCs w:val="32"/>
        </w:rPr>
        <w:t>签约时间：   年   月</w:t>
      </w:r>
    </w:p>
    <w:p>
      <w:pPr>
        <w:spacing w:line="480" w:lineRule="auto"/>
        <w:ind w:firstLine="2088" w:firstLineChars="650"/>
        <w:jc w:val="left"/>
        <w:rPr>
          <w:b/>
          <w:color w:val="000000"/>
          <w:sz w:val="32"/>
          <w:szCs w:val="32"/>
        </w:rPr>
      </w:pP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b/>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b/>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b/>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r>
        <w:rPr>
          <w:rFonts w:ascii="楷体_GB2312" w:hAnsi="楷体_GB2312" w:eastAsia="楷体_GB2312"/>
          <w:b/>
          <w:color w:val="555555"/>
        </w:rPr>
        <w:t>出租方（以下简称甲方）：</w:t>
      </w:r>
      <w:r>
        <w:rPr>
          <w:rFonts w:hint="eastAsia" w:ascii="楷体_GB2312" w:hAnsi="楷体_GB2312" w:eastAsia="楷体_GB2312"/>
          <w:color w:val="555555"/>
        </w:rPr>
        <w:t>景县景州仲舒文体中心有限责任公司</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r>
        <w:rPr>
          <w:rFonts w:ascii="楷体_GB2312" w:hAnsi="楷体_GB2312" w:eastAsia="楷体_GB2312"/>
          <w:color w:val="555555"/>
        </w:rPr>
        <w:t>地址：</w:t>
      </w:r>
      <w:r>
        <w:rPr>
          <w:rFonts w:hint="eastAsia" w:ascii="楷体_GB2312" w:hAnsi="楷体_GB2312" w:eastAsia="楷体_GB2312"/>
          <w:color w:val="555555"/>
        </w:rPr>
        <w:t>河北省衡水市景县景新大街水木人家6层</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法定代表人：</w:t>
      </w:r>
      <w:r>
        <w:rPr>
          <w:rFonts w:hint="eastAsia" w:ascii="楷体_GB2312" w:hAnsi="楷体_GB2312" w:eastAsia="楷体_GB2312"/>
          <w:color w:val="555555"/>
        </w:rPr>
        <w:t>尹沛松</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电话：</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传真：</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邮编：</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开户行：</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r>
        <w:rPr>
          <w:rFonts w:ascii="楷体_GB2312" w:hAnsi="楷体_GB2312" w:eastAsia="楷体_GB2312"/>
          <w:color w:val="555555"/>
        </w:rPr>
        <w:t>银行账号：</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承租方（以下简称乙方）：</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法定代表人：</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地址：</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电话：</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传真：</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邮编：</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开户行：</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银行账号：</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宋体" w:hAnsi="宋体"/>
          <w:color w:val="555555"/>
        </w:rPr>
      </w:pPr>
      <w:bookmarkStart w:id="747" w:name="_Toc12739"/>
      <w:bookmarkStart w:id="748" w:name="_Toc20917"/>
      <w:r>
        <w:rPr>
          <w:rFonts w:ascii="楷体_GB2312" w:hAnsi="楷体_GB2312" w:eastAsia="楷体_GB2312"/>
          <w:color w:val="555555"/>
        </w:rPr>
        <w:t>1. 释义：</w:t>
      </w:r>
      <w:bookmarkEnd w:id="747"/>
      <w:bookmarkEnd w:id="748"/>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1.1出租方（甲方）：</w:t>
      </w:r>
      <w:r>
        <w:rPr>
          <w:rFonts w:hint="eastAsia" w:ascii="楷体_GB2312" w:hAnsi="楷体_GB2312" w:eastAsia="楷体_GB2312"/>
          <w:b/>
          <w:color w:val="555555"/>
        </w:rPr>
        <w:t>景县景州仲舒文体中心有限责任公司</w:t>
      </w:r>
      <w:r>
        <w:rPr>
          <w:rFonts w:ascii="楷体_GB2312" w:hAnsi="楷体_GB2312" w:eastAsia="楷体_GB2312"/>
          <w:color w:val="555555"/>
        </w:rPr>
        <w:t>，按照中华人民共和国的法律规定</w:t>
      </w:r>
      <w:r>
        <w:rPr>
          <w:rFonts w:hint="eastAsia" w:ascii="楷体_GB2312" w:hAnsi="楷体_GB2312" w:eastAsia="楷体_GB2312"/>
          <w:color w:val="555555"/>
        </w:rPr>
        <w:t>及PPP合同约定</w:t>
      </w:r>
      <w:r>
        <w:rPr>
          <w:rFonts w:ascii="楷体_GB2312" w:hAnsi="楷体_GB2312" w:eastAsia="楷体_GB2312"/>
          <w:color w:val="555555"/>
        </w:rPr>
        <w:t>，</w:t>
      </w:r>
      <w:r>
        <w:rPr>
          <w:rFonts w:hint="eastAsia" w:ascii="楷体_GB2312" w:hAnsi="楷体_GB2312" w:eastAsia="楷体_GB2312"/>
          <w:color w:val="555555"/>
        </w:rPr>
        <w:t>在合同约定运营期内</w:t>
      </w:r>
      <w:r>
        <w:rPr>
          <w:rFonts w:ascii="楷体_GB2312" w:hAnsi="楷体_GB2312" w:eastAsia="楷体_GB2312"/>
          <w:color w:val="555555"/>
        </w:rPr>
        <w:t>完全拥有</w:t>
      </w:r>
      <w:r>
        <w:rPr>
          <w:rFonts w:hint="eastAsia" w:ascii="楷体_GB2312" w:hAnsi="楷体_GB2312" w:eastAsia="楷体_GB2312"/>
          <w:color w:val="555555"/>
        </w:rPr>
        <w:t>景州文体中心项目</w:t>
      </w:r>
      <w:r>
        <w:rPr>
          <w:rFonts w:ascii="楷体_GB2312" w:hAnsi="楷体_GB2312" w:eastAsia="楷体_GB2312"/>
          <w:color w:val="555555"/>
        </w:rPr>
        <w:t>的</w:t>
      </w:r>
      <w:r>
        <w:rPr>
          <w:rFonts w:hint="eastAsia" w:ascii="楷体_GB2312" w:hAnsi="楷体_GB2312" w:eastAsia="楷体_GB2312"/>
          <w:color w:val="555555"/>
        </w:rPr>
        <w:t>经营权</w:t>
      </w:r>
      <w:r>
        <w:rPr>
          <w:rFonts w:ascii="楷体_GB2312" w:hAnsi="楷体_GB2312" w:eastAsia="楷体_GB2312"/>
          <w:color w:val="555555"/>
        </w:rPr>
        <w:t>；有权按照法律的规定和自己的意愿，将其项目</w:t>
      </w:r>
      <w:r>
        <w:rPr>
          <w:rFonts w:hint="eastAsia" w:ascii="楷体_GB2312" w:hAnsi="楷体_GB2312" w:eastAsia="楷体_GB2312"/>
          <w:color w:val="555555"/>
        </w:rPr>
        <w:t>内核定的电影院区域</w:t>
      </w:r>
      <w:r>
        <w:rPr>
          <w:rFonts w:ascii="楷体_GB2312" w:hAnsi="楷体_GB2312" w:eastAsia="楷体_GB2312"/>
          <w:color w:val="555555"/>
        </w:rPr>
        <w:t>在约定期限内出租给承租方经营一座电影</w:t>
      </w:r>
      <w:r>
        <w:rPr>
          <w:rFonts w:hint="eastAsia" w:ascii="楷体_GB2312" w:hAnsi="楷体_GB2312" w:eastAsia="楷体_GB2312"/>
          <w:color w:val="555555"/>
        </w:rPr>
        <w:t>院</w:t>
      </w:r>
      <w:r>
        <w:rPr>
          <w:rFonts w:ascii="楷体_GB2312" w:hAnsi="楷体_GB2312" w:eastAsia="楷体_GB2312"/>
          <w:color w:val="555555"/>
        </w:rPr>
        <w:t>，并取得约定的租金收益，且有能力履行本合同约定的义务。</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1.2承租方（乙方）：</w:t>
      </w:r>
      <w:r>
        <w:rPr>
          <w:rFonts w:ascii="楷体_GB2312" w:hAnsi="楷体_GB2312" w:eastAsia="楷体_GB2312"/>
          <w:color w:val="555555"/>
        </w:rPr>
        <w:t>按照中华人民共和国的法律规定，系合法注册成立的独立法人，拥有雄厚的电影院线基础及良好的市场营销及宣传能力；负责直接或授权经营并宣传该合同项下的影</w:t>
      </w:r>
      <w:r>
        <w:rPr>
          <w:rFonts w:hint="eastAsia" w:ascii="楷体_GB2312" w:hAnsi="楷体_GB2312" w:eastAsia="楷体_GB2312"/>
          <w:color w:val="555555"/>
        </w:rPr>
        <w:t>院</w:t>
      </w:r>
      <w:r>
        <w:rPr>
          <w:rFonts w:ascii="楷体_GB2312" w:hAnsi="楷体_GB2312" w:eastAsia="楷体_GB2312"/>
          <w:color w:val="555555"/>
        </w:rPr>
        <w:t>，取得相应的合法收益。</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1.3租赁：</w:t>
      </w:r>
      <w:r>
        <w:rPr>
          <w:rFonts w:ascii="楷体_GB2312" w:hAnsi="楷体_GB2312" w:eastAsia="楷体_GB2312"/>
          <w:color w:val="555555"/>
        </w:rPr>
        <w:t>乙方承租甲方位于</w:t>
      </w:r>
      <w:r>
        <w:rPr>
          <w:rFonts w:hint="eastAsia" w:ascii="楷体_GB2312" w:hAnsi="楷体_GB2312" w:eastAsia="楷体_GB2312"/>
          <w:color w:val="555555"/>
        </w:rPr>
        <w:t>景州文体中心（PPP）建设项目</w:t>
      </w:r>
      <w:r>
        <w:rPr>
          <w:rFonts w:ascii="楷体_GB2312" w:hAnsi="楷体_GB2312" w:eastAsia="楷体_GB2312"/>
          <w:color w:val="555555"/>
        </w:rPr>
        <w:t>内核定的影院位置，该影院由乙方自筹资金、自担风险、自负盈亏、独立自主地进行约定的商业经营或服务，同时乙方须按约定及时向甲方交付租金及其他相关费用。</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1.4租赁标的</w:t>
      </w:r>
      <w:r>
        <w:rPr>
          <w:rFonts w:ascii="楷体_GB2312" w:hAnsi="楷体_GB2312" w:eastAsia="楷体_GB2312"/>
          <w:color w:val="555555"/>
        </w:rPr>
        <w:t>：指位于</w:t>
      </w:r>
      <w:r>
        <w:rPr>
          <w:rFonts w:hint="eastAsia" w:ascii="楷体_GB2312" w:hAnsi="楷体_GB2312" w:eastAsia="楷体_GB2312"/>
          <w:color w:val="555555"/>
        </w:rPr>
        <w:t>景州文体中心（PPP）建设项目</w:t>
      </w:r>
      <w:r>
        <w:rPr>
          <w:rFonts w:ascii="楷体_GB2312" w:hAnsi="楷体_GB2312" w:eastAsia="楷体_GB2312"/>
          <w:color w:val="555555"/>
        </w:rPr>
        <w:t>内核定的影院位置由甲方出租给乙方从事影院经营的区域</w:t>
      </w:r>
      <w:r>
        <w:rPr>
          <w:rFonts w:ascii="楷体_GB2312" w:hAnsi="楷体_GB2312" w:eastAsia="楷体_GB2312"/>
          <w:b/>
          <w:color w:val="555555"/>
        </w:rPr>
        <w:t>。</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1.5租金：</w:t>
      </w:r>
      <w:r>
        <w:rPr>
          <w:rFonts w:ascii="楷体_GB2312" w:hAnsi="楷体_GB2312" w:eastAsia="楷体_GB2312"/>
          <w:color w:val="555555"/>
        </w:rPr>
        <w:t>指甲方将约定的</w:t>
      </w:r>
      <w:r>
        <w:rPr>
          <w:rFonts w:hint="eastAsia" w:ascii="楷体_GB2312" w:hAnsi="楷体_GB2312" w:eastAsia="楷体_GB2312"/>
          <w:color w:val="555555"/>
        </w:rPr>
        <w:t>区域</w:t>
      </w:r>
      <w:r>
        <w:rPr>
          <w:rFonts w:ascii="楷体_GB2312" w:hAnsi="楷体_GB2312" w:eastAsia="楷体_GB2312"/>
          <w:color w:val="555555"/>
        </w:rPr>
        <w:t>租赁给乙方经营时，按约定数额及支付方式向乙方收取的款项（</w:t>
      </w:r>
      <w:r>
        <w:rPr>
          <w:rFonts w:hint="eastAsia" w:ascii="楷体_GB2312" w:hAnsi="楷体_GB2312" w:eastAsia="楷体_GB2312"/>
          <w:color w:val="555555"/>
        </w:rPr>
        <w:t>不含物业费</w:t>
      </w:r>
      <w:r>
        <w:rPr>
          <w:rFonts w:ascii="楷体_GB2312" w:hAnsi="楷体_GB2312" w:eastAsia="楷体_GB2312"/>
          <w:color w:val="555555"/>
        </w:rPr>
        <w:t>）。</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1.6合同</w:t>
      </w:r>
      <w:r>
        <w:rPr>
          <w:rFonts w:hint="eastAsia" w:ascii="楷体_GB2312" w:hAnsi="楷体_GB2312" w:eastAsia="楷体_GB2312"/>
          <w:b/>
          <w:color w:val="555555"/>
        </w:rPr>
        <w:t>履约保函</w:t>
      </w:r>
      <w:r>
        <w:rPr>
          <w:rFonts w:ascii="楷体_GB2312" w:hAnsi="楷体_GB2312" w:eastAsia="楷体_GB2312"/>
          <w:b/>
          <w:color w:val="555555"/>
        </w:rPr>
        <w:t>：</w:t>
      </w:r>
      <w:r>
        <w:rPr>
          <w:rFonts w:ascii="楷体_GB2312" w:hAnsi="楷体_GB2312" w:eastAsia="楷体_GB2312"/>
          <w:color w:val="555555"/>
        </w:rPr>
        <w:t>乙方交付给甲方作为乙方忠实履行本合同所约定义务的</w:t>
      </w:r>
      <w:r>
        <w:rPr>
          <w:rFonts w:hint="eastAsia" w:ascii="楷体_GB2312" w:hAnsi="楷体_GB2312" w:eastAsia="楷体_GB2312"/>
          <w:color w:val="555555"/>
        </w:rPr>
        <w:t>履约保函</w:t>
      </w:r>
      <w:r>
        <w:rPr>
          <w:rFonts w:ascii="楷体_GB2312" w:hAnsi="楷体_GB2312" w:eastAsia="楷体_GB2312"/>
          <w:color w:val="555555"/>
        </w:rPr>
        <w:t>。</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1.7影院：</w:t>
      </w:r>
      <w:r>
        <w:rPr>
          <w:rFonts w:ascii="楷体_GB2312" w:hAnsi="楷体_GB2312" w:eastAsia="楷体_GB2312"/>
          <w:color w:val="555555"/>
        </w:rPr>
        <w:t>包含5个影厅（</w:t>
      </w:r>
      <w:r>
        <w:rPr>
          <w:rFonts w:hint="eastAsia" w:ascii="楷体_GB2312" w:hAnsi="楷体_GB2312" w:eastAsia="楷体_GB2312"/>
          <w:color w:val="555555"/>
        </w:rPr>
        <w:t>其中：3个大影厅含130座，2个VIP厅含27座</w:t>
      </w:r>
      <w:r>
        <w:rPr>
          <w:rFonts w:ascii="楷体_GB2312" w:hAnsi="楷体_GB2312" w:eastAsia="楷体_GB2312"/>
          <w:color w:val="555555"/>
        </w:rPr>
        <w:t>）。</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1.8附件和特别约定：</w:t>
      </w:r>
      <w:r>
        <w:rPr>
          <w:rFonts w:ascii="楷体_GB2312" w:hAnsi="楷体_GB2312" w:eastAsia="楷体_GB2312"/>
          <w:color w:val="555555"/>
        </w:rPr>
        <w:t>本合同的所有附件都为本合同的有效组成部分，与本合同具有同等法律效力。附件中若有双方为履行本合同所作的特别约定，以特别约定为准。</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宋体" w:hAnsi="宋体"/>
          <w:color w:val="555555"/>
        </w:rPr>
      </w:pPr>
      <w:bookmarkStart w:id="749" w:name="_Toc457"/>
      <w:bookmarkStart w:id="750" w:name="_Toc12559"/>
      <w:r>
        <w:rPr>
          <w:rFonts w:ascii="楷体_GB2312" w:hAnsi="楷体_GB2312" w:eastAsia="楷体_GB2312"/>
          <w:color w:val="555555"/>
        </w:rPr>
        <w:t>2. 合同主体</w:t>
      </w:r>
      <w:bookmarkEnd w:id="749"/>
      <w:bookmarkEnd w:id="750"/>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2.1甲方：</w:t>
      </w:r>
      <w:r>
        <w:rPr>
          <w:rFonts w:hint="eastAsia" w:ascii="楷体_GB2312" w:hAnsi="楷体_GB2312" w:eastAsia="楷体_GB2312"/>
          <w:color w:val="555555"/>
          <w:u w:val="single"/>
        </w:rPr>
        <w:t>景县景州仲舒文体中心有限责任公司</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u w:val="single"/>
        </w:rPr>
      </w:pPr>
      <w:r>
        <w:rPr>
          <w:rFonts w:ascii="楷体_GB2312" w:hAnsi="楷体_GB2312" w:eastAsia="楷体_GB2312"/>
          <w:b/>
          <w:color w:val="555555"/>
        </w:rPr>
        <w:t>2.2乙方：</w:t>
      </w:r>
      <w:r>
        <w:rPr>
          <w:rFonts w:hint="eastAsia" w:ascii="楷体_GB2312" w:hAnsi="楷体_GB2312" w:eastAsia="楷体_GB2312"/>
          <w:b/>
          <w:color w:val="555555"/>
          <w:u w:val="single"/>
        </w:rPr>
        <w:t xml:space="preserve">                            </w:t>
      </w:r>
      <w:r>
        <w:rPr>
          <w:rFonts w:ascii="楷体_GB2312" w:hAnsi="楷体_GB2312" w:eastAsia="楷体_GB2312"/>
          <w:color w:val="555555"/>
          <w:u w:val="single"/>
        </w:rPr>
        <w:t>公司</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u w:val="single"/>
        </w:rPr>
      </w:pP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宋体" w:hAnsi="宋体"/>
          <w:color w:val="555555"/>
        </w:rPr>
      </w:pPr>
      <w:bookmarkStart w:id="751" w:name="_Toc5587"/>
      <w:bookmarkStart w:id="752" w:name="_Toc17622"/>
      <w:r>
        <w:rPr>
          <w:rFonts w:ascii="楷体_GB2312" w:hAnsi="楷体_GB2312" w:eastAsia="楷体_GB2312"/>
          <w:color w:val="555555"/>
        </w:rPr>
        <w:t>3. 租赁标的及用途</w:t>
      </w:r>
      <w:bookmarkEnd w:id="751"/>
      <w:bookmarkEnd w:id="752"/>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3.1</w:t>
      </w:r>
      <w:r>
        <w:rPr>
          <w:rFonts w:ascii="楷体_GB2312" w:hAnsi="楷体_GB2312" w:eastAsia="楷体_GB2312"/>
          <w:color w:val="555555"/>
        </w:rPr>
        <w:t xml:space="preserve">  乙方向甲方承租的标的为位于</w:t>
      </w:r>
      <w:r>
        <w:rPr>
          <w:rFonts w:hint="eastAsia" w:ascii="楷体_GB2312" w:hAnsi="楷体_GB2312" w:eastAsia="楷体_GB2312"/>
          <w:color w:val="555555"/>
        </w:rPr>
        <w:t>景州文体中心（PPP）建设项目</w:t>
      </w:r>
      <w:r>
        <w:rPr>
          <w:rFonts w:ascii="楷体_GB2312" w:hAnsi="楷体_GB2312" w:eastAsia="楷体_GB2312"/>
          <w:color w:val="555555"/>
        </w:rPr>
        <w:t>内核定的用于经营电影院的位置。</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r>
        <w:rPr>
          <w:rFonts w:ascii="楷体_GB2312" w:hAnsi="楷体_GB2312" w:eastAsia="楷体_GB2312"/>
          <w:b/>
          <w:color w:val="555555"/>
        </w:rPr>
        <w:t>3.2</w:t>
      </w:r>
      <w:r>
        <w:rPr>
          <w:rFonts w:ascii="楷体_GB2312" w:hAnsi="楷体_GB2312" w:eastAsia="楷体_GB2312"/>
          <w:color w:val="555555"/>
        </w:rPr>
        <w:t xml:space="preserve">  租赁面积：指该使用用途为影院的建筑面积约（2689.62）平米，包括其中柱子、墙身之厚度及乙方专用机电设备设施等公摊面积（最终以实测面积为准）。</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 xml:space="preserve">3.3 </w:t>
      </w:r>
      <w:r>
        <w:rPr>
          <w:rFonts w:ascii="楷体_GB2312" w:hAnsi="楷体_GB2312" w:eastAsia="楷体_GB2312"/>
          <w:color w:val="555555"/>
        </w:rPr>
        <w:t xml:space="preserve"> 租赁场地的具体位置及面积</w:t>
      </w:r>
      <w:r>
        <w:rPr>
          <w:rFonts w:hint="eastAsia" w:ascii="楷体_GB2312" w:hAnsi="楷体_GB2312" w:eastAsia="楷体_GB2312"/>
          <w:color w:val="555555"/>
        </w:rPr>
        <w:t>详见图纸</w:t>
      </w:r>
      <w:r>
        <w:rPr>
          <w:rFonts w:ascii="楷体_GB2312" w:hAnsi="楷体_GB2312" w:eastAsia="楷体_GB2312"/>
          <w:color w:val="555555"/>
        </w:rPr>
        <w:t>。</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3.4</w:t>
      </w:r>
      <w:r>
        <w:rPr>
          <w:rFonts w:ascii="楷体_GB2312" w:hAnsi="楷体_GB2312" w:eastAsia="楷体_GB2312"/>
          <w:color w:val="555555"/>
        </w:rPr>
        <w:t xml:space="preserve">  甲方允许乙方就本合同约定的租赁面积内转租其中比例为5%以内的面积，同时乙方无需为此再另付租金，但乙方承诺该转租面积仅作为影院的经营配套服务项目(如咖啡厅、电影后产品等)使用；同时为避免商户之间出现恶性竞争的情况，甲方须承诺统筹管理地下一层及下沉广场所有其他商户的进驻，引入与乙方所经营的卖品（包括矿泉水、可乐、果汁等软饮料及零食、爆米花）、咖啡厅、果吧等同类经营业态的商户仅限一（</w:t>
      </w:r>
      <w:r>
        <w:rPr>
          <w:rFonts w:ascii="楷体_GB2312" w:hAnsi="楷体_GB2312" w:eastAsia="楷体_GB2312"/>
          <w:b/>
          <w:color w:val="555555"/>
        </w:rPr>
        <w:t>1</w:t>
      </w:r>
      <w:r>
        <w:rPr>
          <w:rFonts w:ascii="楷体_GB2312" w:hAnsi="楷体_GB2312" w:eastAsia="楷体_GB2312"/>
          <w:color w:val="555555"/>
        </w:rPr>
        <w:t>）家。</w:t>
      </w: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53" w:name="_Toc11390"/>
      <w:bookmarkStart w:id="754" w:name="_Toc13760"/>
      <w:r>
        <w:rPr>
          <w:rFonts w:ascii="楷体_GB2312" w:hAnsi="楷体_GB2312" w:eastAsia="楷体_GB2312"/>
          <w:color w:val="555555"/>
          <w:szCs w:val="22"/>
        </w:rPr>
        <w:t>4.租赁标的之交付时间</w:t>
      </w:r>
      <w:bookmarkEnd w:id="753"/>
      <w:bookmarkEnd w:id="754"/>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highlight w:val="green"/>
          <w:u w:val="single"/>
        </w:rPr>
      </w:pPr>
      <w:r>
        <w:rPr>
          <w:rFonts w:ascii="楷体_GB2312" w:hAnsi="楷体_GB2312" w:eastAsia="楷体_GB2312"/>
          <w:b/>
          <w:color w:val="555555"/>
        </w:rPr>
        <w:t xml:space="preserve">4.1 </w:t>
      </w:r>
      <w:r>
        <w:rPr>
          <w:rFonts w:ascii="楷体_GB2312" w:hAnsi="楷体_GB2312" w:eastAsia="楷体_GB2312"/>
          <w:color w:val="555555"/>
        </w:rPr>
        <w:t>甲、乙双方正式签订《</w:t>
      </w:r>
      <w:r>
        <w:rPr>
          <w:rFonts w:hint="eastAsia" w:ascii="楷体_GB2312" w:hAnsi="楷体_GB2312" w:eastAsia="楷体_GB2312"/>
          <w:color w:val="555555"/>
        </w:rPr>
        <w:t>交付确认书</w:t>
      </w:r>
      <w:r>
        <w:rPr>
          <w:rFonts w:ascii="楷体_GB2312" w:hAnsi="楷体_GB2312" w:eastAsia="楷体_GB2312"/>
          <w:color w:val="555555"/>
        </w:rPr>
        <w:t>》</w:t>
      </w:r>
      <w:r>
        <w:rPr>
          <w:rFonts w:hint="eastAsia" w:ascii="楷体_GB2312" w:hAnsi="楷体_GB2312" w:eastAsia="楷体_GB2312"/>
          <w:color w:val="555555"/>
        </w:rPr>
        <w:t>后</w:t>
      </w:r>
      <w:r>
        <w:rPr>
          <w:rFonts w:ascii="楷体_GB2312" w:hAnsi="楷体_GB2312" w:eastAsia="楷体_GB2312"/>
          <w:color w:val="555555"/>
        </w:rPr>
        <w:t>，视为甲方将租赁标的实际交付乙方。</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p>
    <w:p>
      <w:pPr>
        <w:numPr>
          <w:ilvl w:val="0"/>
          <w:numId w:val="10"/>
        </w:num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55" w:name="_Toc8969"/>
      <w:bookmarkStart w:id="756" w:name="_Toc18621"/>
      <w:r>
        <w:rPr>
          <w:rFonts w:hint="eastAsia" w:ascii="楷体_GB2312" w:hAnsi="楷体_GB2312" w:eastAsia="楷体_GB2312"/>
          <w:color w:val="555555"/>
          <w:szCs w:val="22"/>
        </w:rPr>
        <w:t>装修</w:t>
      </w:r>
      <w:r>
        <w:rPr>
          <w:rFonts w:ascii="楷体_GB2312" w:hAnsi="楷体_GB2312" w:eastAsia="楷体_GB2312"/>
          <w:color w:val="555555"/>
          <w:szCs w:val="22"/>
        </w:rPr>
        <w:t>期</w:t>
      </w:r>
      <w:bookmarkEnd w:id="755"/>
      <w:bookmarkEnd w:id="756"/>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 xml:space="preserve">5.1  </w:t>
      </w:r>
      <w:r>
        <w:rPr>
          <w:rFonts w:ascii="楷体_GB2312" w:hAnsi="楷体_GB2312" w:eastAsia="楷体_GB2312"/>
          <w:color w:val="555555"/>
        </w:rPr>
        <w:t>甲方承诺自《</w:t>
      </w:r>
      <w:r>
        <w:rPr>
          <w:rFonts w:hint="eastAsia" w:ascii="楷体_GB2312" w:hAnsi="楷体_GB2312" w:eastAsia="楷体_GB2312"/>
          <w:color w:val="555555"/>
        </w:rPr>
        <w:t>交付确认书</w:t>
      </w:r>
      <w:r>
        <w:rPr>
          <w:rFonts w:ascii="楷体_GB2312" w:hAnsi="楷体_GB2312" w:eastAsia="楷体_GB2312"/>
          <w:color w:val="555555"/>
        </w:rPr>
        <w:t>》签订之日起</w:t>
      </w:r>
      <w:r>
        <w:rPr>
          <w:rFonts w:hint="eastAsia" w:ascii="楷体_GB2312" w:hAnsi="楷体_GB2312" w:eastAsia="楷体_GB2312"/>
          <w:color w:val="555555"/>
        </w:rPr>
        <w:t>四</w:t>
      </w:r>
      <w:r>
        <w:rPr>
          <w:rFonts w:ascii="楷体_GB2312" w:hAnsi="楷体_GB2312" w:eastAsia="楷体_GB2312"/>
          <w:b/>
          <w:color w:val="555555"/>
        </w:rPr>
        <w:t>（4）</w:t>
      </w:r>
      <w:r>
        <w:rPr>
          <w:rFonts w:ascii="楷体_GB2312" w:hAnsi="楷体_GB2312" w:eastAsia="楷体_GB2312"/>
          <w:color w:val="555555"/>
        </w:rPr>
        <w:t>个月内为</w:t>
      </w:r>
      <w:r>
        <w:rPr>
          <w:rFonts w:hint="eastAsia" w:ascii="楷体_GB2312" w:hAnsi="楷体_GB2312" w:eastAsia="楷体_GB2312"/>
          <w:color w:val="555555"/>
        </w:rPr>
        <w:t>进场装修时间，进场装修时间</w:t>
      </w:r>
      <w:r>
        <w:rPr>
          <w:rFonts w:ascii="楷体_GB2312" w:hAnsi="楷体_GB2312" w:eastAsia="楷体_GB2312"/>
          <w:color w:val="555555"/>
        </w:rPr>
        <w:t>内乙方负责场地改造、二次装修及办理营业相关手续等。</w:t>
      </w:r>
      <w:r>
        <w:rPr>
          <w:rFonts w:hint="eastAsia" w:ascii="楷体_GB2312" w:hAnsi="楷体_GB2312" w:eastAsia="楷体_GB2312"/>
          <w:color w:val="555555"/>
        </w:rPr>
        <w:t>期间</w:t>
      </w:r>
      <w:r>
        <w:rPr>
          <w:rFonts w:ascii="楷体_GB2312" w:hAnsi="楷体_GB2312" w:eastAsia="楷体_GB2312"/>
          <w:color w:val="555555"/>
        </w:rPr>
        <w:t>内，乙方无需向甲方交付租金及物业费，但水、电、空调等能源费由乙方自行承担。</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 xml:space="preserve">5.2 </w:t>
      </w:r>
      <w:r>
        <w:rPr>
          <w:rFonts w:ascii="楷体_GB2312" w:hAnsi="楷体_GB2312" w:eastAsia="楷体_GB2312"/>
          <w:color w:val="555555"/>
        </w:rPr>
        <w:t xml:space="preserve"> 甲方应积极配合乙方所进行的电影院设计及施工以保障影院顺利开业；乙方应自费自行办理营业执照、消防等与经营有关的一切手续，并自行承担一切后果。乙方在办理手续过程中，甲方应给予适当的协助。</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57" w:name="_Toc14099"/>
      <w:bookmarkStart w:id="758" w:name="_Toc24356"/>
      <w:r>
        <w:rPr>
          <w:rFonts w:ascii="楷体_GB2312" w:hAnsi="楷体_GB2312" w:eastAsia="楷体_GB2312"/>
          <w:color w:val="555555"/>
          <w:szCs w:val="22"/>
        </w:rPr>
        <w:t>6. 正式租赁期</w:t>
      </w:r>
      <w:bookmarkEnd w:id="757"/>
      <w:bookmarkEnd w:id="758"/>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r>
        <w:rPr>
          <w:rFonts w:ascii="楷体_GB2312" w:hAnsi="楷体_GB2312" w:eastAsia="楷体_GB2312"/>
          <w:b/>
          <w:color w:val="555555"/>
        </w:rPr>
        <w:t>6.1</w:t>
      </w:r>
      <w:r>
        <w:rPr>
          <w:rFonts w:hint="eastAsia" w:ascii="楷体_GB2312" w:hAnsi="楷体_GB2312" w:eastAsia="楷体_GB2312"/>
          <w:b/>
          <w:color w:val="555555"/>
        </w:rPr>
        <w:t xml:space="preserve">  </w:t>
      </w:r>
      <w:r>
        <w:rPr>
          <w:rFonts w:hint="eastAsia" w:ascii="楷体_GB2312" w:hAnsi="楷体_GB2312" w:eastAsia="楷体_GB2312"/>
          <w:color w:val="555555"/>
        </w:rPr>
        <w:t>进场装修</w:t>
      </w:r>
      <w:r>
        <w:rPr>
          <w:rFonts w:ascii="楷体_GB2312" w:hAnsi="楷体_GB2312" w:eastAsia="楷体_GB2312"/>
          <w:color w:val="555555"/>
        </w:rPr>
        <w:t>期后，影院即自动转为正式租赁期。自</w:t>
      </w:r>
      <w:r>
        <w:rPr>
          <w:rFonts w:ascii="楷体_GB2312" w:hAnsi="楷体_GB2312" w:eastAsia="楷体_GB2312"/>
          <w:color w:val="555555"/>
          <w:u w:val="single"/>
        </w:rPr>
        <w:t>（    ）年（    ）月（   ）日</w:t>
      </w:r>
      <w:r>
        <w:rPr>
          <w:rFonts w:ascii="楷体_GB2312" w:hAnsi="楷体_GB2312" w:eastAsia="楷体_GB2312"/>
          <w:color w:val="555555"/>
        </w:rPr>
        <w:t>起算(</w:t>
      </w:r>
      <w:r>
        <w:rPr>
          <w:rFonts w:ascii="楷体_GB2312" w:hAnsi="楷体_GB2312" w:eastAsia="楷体_GB2312"/>
          <w:b/>
          <w:color w:val="555555"/>
        </w:rPr>
        <w:t>甲乙双方对该日期进行书面确认</w:t>
      </w:r>
      <w:r>
        <w:rPr>
          <w:rFonts w:ascii="楷体_GB2312" w:hAnsi="楷体_GB2312" w:eastAsia="楷体_GB2312"/>
          <w:color w:val="555555"/>
        </w:rPr>
        <w:t>),正式租赁期共计</w:t>
      </w:r>
      <w:r>
        <w:rPr>
          <w:rFonts w:hint="eastAsia" w:ascii="楷体_GB2312" w:hAnsi="楷体_GB2312" w:eastAsia="楷体_GB2312"/>
          <w:color w:val="555555"/>
        </w:rPr>
        <w:t>十二</w:t>
      </w:r>
      <w:r>
        <w:rPr>
          <w:rFonts w:ascii="楷体_GB2312" w:hAnsi="楷体_GB2312" w:eastAsia="楷体_GB2312"/>
          <w:b/>
          <w:color w:val="555555"/>
        </w:rPr>
        <w:t>（12）</w:t>
      </w:r>
      <w:r>
        <w:rPr>
          <w:rFonts w:ascii="楷体_GB2312" w:hAnsi="楷体_GB2312" w:eastAsia="楷体_GB2312"/>
          <w:color w:val="555555"/>
        </w:rPr>
        <w:t>年。</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hint="eastAsia" w:ascii="楷体_GB2312" w:hAnsi="楷体_GB2312" w:eastAsia="楷体_GB2312"/>
          <w:color w:val="555555"/>
        </w:rPr>
        <w:t xml:space="preserve">6.3  </w:t>
      </w:r>
      <w:r>
        <w:rPr>
          <w:rFonts w:ascii="楷体_GB2312" w:hAnsi="楷体_GB2312" w:eastAsia="楷体_GB2312"/>
          <w:color w:val="555555"/>
        </w:rPr>
        <w:t>正式租赁期内乙方除需按本协议书第七条的规定向甲方支付租金（</w:t>
      </w:r>
      <w:r>
        <w:rPr>
          <w:rFonts w:hint="eastAsia" w:ascii="楷体_GB2312" w:hAnsi="楷体_GB2312" w:eastAsia="楷体_GB2312"/>
          <w:color w:val="555555"/>
        </w:rPr>
        <w:t>不</w:t>
      </w:r>
      <w:r>
        <w:rPr>
          <w:rFonts w:ascii="楷体_GB2312" w:hAnsi="楷体_GB2312" w:eastAsia="楷体_GB2312"/>
          <w:color w:val="555555"/>
        </w:rPr>
        <w:t>含物业费）外，还需支付影院日常运营所使用之水电费、空调使用费等能源费。</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59" w:name="_Toc21353"/>
      <w:bookmarkStart w:id="760" w:name="_Toc30407"/>
      <w:r>
        <w:rPr>
          <w:rFonts w:ascii="楷体_GB2312" w:hAnsi="楷体_GB2312" w:eastAsia="楷体_GB2312"/>
          <w:color w:val="555555"/>
          <w:szCs w:val="22"/>
        </w:rPr>
        <w:t>7. 租金的计算、支付方式及时间</w:t>
      </w:r>
      <w:bookmarkEnd w:id="759"/>
      <w:bookmarkEnd w:id="760"/>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7.1</w:t>
      </w:r>
      <w:r>
        <w:rPr>
          <w:rFonts w:hint="eastAsia" w:ascii="楷体_GB2312" w:hAnsi="楷体_GB2312" w:eastAsia="楷体_GB2312"/>
          <w:b/>
          <w:color w:val="555555"/>
        </w:rPr>
        <w:t xml:space="preserve">  </w:t>
      </w:r>
      <w:r>
        <w:rPr>
          <w:rFonts w:ascii="楷体_GB2312" w:hAnsi="楷体_GB2312" w:eastAsia="楷体_GB2312"/>
          <w:color w:val="555555"/>
        </w:rPr>
        <w:t>影院正式租赁期起始日即为租金起算日。</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b/>
          <w:color w:val="555555"/>
        </w:rPr>
      </w:pPr>
      <w:r>
        <w:rPr>
          <w:rFonts w:hint="eastAsia" w:ascii="楷体_GB2312" w:hAnsi="楷体_GB2312" w:eastAsia="楷体_GB2312"/>
          <w:b/>
          <w:color w:val="555555"/>
        </w:rPr>
        <w:t>7.2  租金（不含物业费）支付方式：</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bCs/>
          <w:color w:val="555555"/>
        </w:rPr>
      </w:pPr>
      <w:r>
        <w:rPr>
          <w:rFonts w:hint="eastAsia" w:ascii="楷体_GB2312" w:hAnsi="楷体_GB2312" w:eastAsia="楷体_GB2312"/>
          <w:bCs/>
          <w:color w:val="555555"/>
        </w:rPr>
        <w:t>每年租金（不含物业费）：</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bCs/>
          <w:color w:val="555555"/>
        </w:rPr>
      </w:pPr>
      <w:r>
        <w:rPr>
          <w:rFonts w:hint="eastAsia" w:ascii="楷体_GB2312" w:hAnsi="楷体_GB2312" w:eastAsia="楷体_GB2312"/>
          <w:bCs/>
          <w:color w:val="555555"/>
        </w:rPr>
        <w:t>（人民币）</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bCs/>
          <w:color w:val="555555"/>
        </w:rPr>
      </w:pPr>
      <w:r>
        <w:rPr>
          <w:rFonts w:hint="eastAsia" w:ascii="楷体_GB2312" w:hAnsi="楷体_GB2312" w:eastAsia="楷体_GB2312"/>
          <w:bCs/>
          <w:color w:val="555555"/>
        </w:rPr>
        <w:t>第1年～第3年      *万元；</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bCs/>
          <w:color w:val="555555"/>
        </w:rPr>
      </w:pPr>
      <w:r>
        <w:rPr>
          <w:rFonts w:hint="eastAsia" w:ascii="楷体_GB2312" w:hAnsi="楷体_GB2312" w:eastAsia="楷体_GB2312"/>
          <w:bCs/>
          <w:color w:val="555555"/>
        </w:rPr>
        <w:t>第4年～第6年      *万元；</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bCs/>
          <w:color w:val="555555"/>
        </w:rPr>
      </w:pPr>
      <w:r>
        <w:rPr>
          <w:rFonts w:hint="eastAsia" w:ascii="楷体_GB2312" w:hAnsi="楷体_GB2312" w:eastAsia="楷体_GB2312"/>
          <w:bCs/>
          <w:color w:val="555555"/>
        </w:rPr>
        <w:t>第7年～第9年      *万元；</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bCs/>
          <w:color w:val="555555"/>
        </w:rPr>
      </w:pPr>
      <w:r>
        <w:rPr>
          <w:rFonts w:hint="eastAsia" w:ascii="楷体_GB2312" w:hAnsi="楷体_GB2312" w:eastAsia="楷体_GB2312"/>
          <w:bCs/>
          <w:color w:val="555555"/>
        </w:rPr>
        <w:t>第10年～第12年     *万元；</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7.3</w:t>
      </w:r>
      <w:r>
        <w:rPr>
          <w:rFonts w:hint="eastAsia" w:ascii="楷体_GB2312" w:hAnsi="楷体_GB2312" w:eastAsia="楷体_GB2312"/>
          <w:b/>
          <w:color w:val="555555"/>
        </w:rPr>
        <w:t xml:space="preserve">  </w:t>
      </w:r>
      <w:r>
        <w:rPr>
          <w:rFonts w:ascii="楷体_GB2312" w:hAnsi="楷体_GB2312" w:eastAsia="楷体_GB2312"/>
          <w:color w:val="555555"/>
        </w:rPr>
        <w:t>租金由乙方按本合同约定，</w:t>
      </w:r>
      <w:r>
        <w:rPr>
          <w:rFonts w:hint="eastAsia" w:ascii="楷体_GB2312" w:hAnsi="楷体_GB2312" w:eastAsia="楷体_GB2312"/>
          <w:color w:val="555555"/>
        </w:rPr>
        <w:t>每年于</w:t>
      </w:r>
      <w:r>
        <w:rPr>
          <w:rFonts w:ascii="楷体_GB2312" w:hAnsi="楷体_GB2312" w:eastAsia="楷体_GB2312"/>
          <w:color w:val="555555"/>
        </w:rPr>
        <w:t>租赁期起始日</w:t>
      </w:r>
      <w:r>
        <w:rPr>
          <w:rFonts w:hint="eastAsia" w:ascii="楷体_GB2312" w:hAnsi="楷体_GB2312" w:eastAsia="楷体_GB2312"/>
          <w:color w:val="555555"/>
        </w:rPr>
        <w:t>日期一周内交付本年</w:t>
      </w:r>
      <w:r>
        <w:rPr>
          <w:rFonts w:ascii="楷体_GB2312" w:hAnsi="楷体_GB2312" w:eastAsia="楷体_GB2312"/>
          <w:color w:val="555555"/>
        </w:rPr>
        <w:t>的租金以银行转账方式支付甲方，如遇周末或节假日则顺延。首月和租赁期满或合同提前终止当月的租金应按实际天数和每日平均金额计算，其它月份按整月计算。甲方收取租金的具体帐户如下：</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户名：（                ）</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开户行：（               ）</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帐号：（               ）</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p>
    <w:p>
      <w:pPr>
        <w:numPr>
          <w:ilvl w:val="0"/>
          <w:numId w:val="11"/>
        </w:num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61" w:name="_Toc1159"/>
      <w:bookmarkStart w:id="762" w:name="_Toc30394"/>
      <w:r>
        <w:rPr>
          <w:rFonts w:ascii="楷体_GB2312" w:hAnsi="楷体_GB2312" w:eastAsia="楷体_GB2312"/>
          <w:color w:val="555555"/>
          <w:szCs w:val="22"/>
        </w:rPr>
        <w:t>水、电、空调等其他费用</w:t>
      </w:r>
      <w:bookmarkEnd w:id="761"/>
      <w:bookmarkEnd w:id="762"/>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 xml:space="preserve">8.1 </w:t>
      </w:r>
      <w:r>
        <w:rPr>
          <w:rFonts w:ascii="楷体_GB2312" w:hAnsi="楷体_GB2312" w:eastAsia="楷体_GB2312"/>
          <w:color w:val="555555"/>
        </w:rPr>
        <w:t xml:space="preserve"> 装修期内，甲方免收乙方的租金，乙方不需缴纳物业管理费用，但乙方应按时缴纳装修期内所产生的水、电、空调等能源费用。</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r>
        <w:rPr>
          <w:rFonts w:ascii="楷体_GB2312" w:hAnsi="楷体_GB2312" w:eastAsia="楷体_GB2312"/>
          <w:b/>
          <w:color w:val="555555"/>
        </w:rPr>
        <w:t>8.2</w:t>
      </w:r>
      <w:r>
        <w:rPr>
          <w:rFonts w:ascii="楷体_GB2312" w:hAnsi="楷体_GB2312" w:eastAsia="楷体_GB2312"/>
          <w:color w:val="555555"/>
        </w:rPr>
        <w:t xml:space="preserve">  乙方在影院正常经营过程中产生的水、电、空调等费用将另行按表的实际用量计算，甲方按</w:t>
      </w:r>
      <w:r>
        <w:rPr>
          <w:rFonts w:hint="eastAsia" w:ascii="楷体_GB2312" w:hAnsi="楷体_GB2312" w:eastAsia="楷体_GB2312"/>
          <w:color w:val="555555"/>
        </w:rPr>
        <w:t>衡水市</w:t>
      </w:r>
      <w:r>
        <w:rPr>
          <w:rFonts w:ascii="楷体_GB2312" w:hAnsi="楷体_GB2312" w:eastAsia="楷体_GB2312"/>
          <w:color w:val="555555"/>
        </w:rPr>
        <w:t>统一标准收费。</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8.3</w:t>
      </w:r>
      <w:r>
        <w:rPr>
          <w:rFonts w:ascii="楷体_GB2312" w:hAnsi="楷体_GB2312" w:eastAsia="楷体_GB2312"/>
          <w:color w:val="555555"/>
        </w:rPr>
        <w:t xml:space="preserve">  乙方应在接到甲方的缴费通知单后5个工作日内足额缴纳费用。</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p>
    <w:p>
      <w:pPr>
        <w:numPr>
          <w:ilvl w:val="0"/>
          <w:numId w:val="11"/>
        </w:num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63" w:name="_Toc28090"/>
      <w:bookmarkStart w:id="764" w:name="_Toc24256"/>
      <w:r>
        <w:rPr>
          <w:rFonts w:ascii="楷体_GB2312" w:hAnsi="楷体_GB2312" w:eastAsia="楷体_GB2312"/>
          <w:color w:val="555555"/>
          <w:szCs w:val="22"/>
        </w:rPr>
        <w:t>保证金的支付与返还</w:t>
      </w:r>
      <w:bookmarkEnd w:id="763"/>
      <w:bookmarkEnd w:id="764"/>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 xml:space="preserve">9.1  </w:t>
      </w:r>
      <w:r>
        <w:rPr>
          <w:rFonts w:ascii="楷体_GB2312" w:hAnsi="楷体_GB2312" w:eastAsia="楷体_GB2312"/>
          <w:color w:val="555555"/>
        </w:rPr>
        <w:t>乙方此前已向甲方支付的3万（</w:t>
      </w:r>
      <w:r>
        <w:rPr>
          <w:rFonts w:hint="eastAsia" w:ascii="楷体_GB2312" w:hAnsi="楷体_GB2312" w:eastAsia="楷体_GB2312"/>
          <w:color w:val="555555"/>
        </w:rPr>
        <w:t>叁</w:t>
      </w:r>
      <w:r>
        <w:rPr>
          <w:rFonts w:ascii="楷体_GB2312" w:hAnsi="楷体_GB2312" w:eastAsia="楷体_GB2312"/>
          <w:color w:val="555555"/>
        </w:rPr>
        <w:t>万）元人民币</w:t>
      </w:r>
      <w:r>
        <w:rPr>
          <w:rFonts w:hint="eastAsia" w:ascii="楷体_GB2312" w:hAnsi="楷体_GB2312" w:eastAsia="楷体_GB2312"/>
          <w:color w:val="555555"/>
        </w:rPr>
        <w:t>投标保证</w:t>
      </w:r>
      <w:r>
        <w:rPr>
          <w:rFonts w:ascii="楷体_GB2312" w:hAnsi="楷体_GB2312" w:eastAsia="楷体_GB2312"/>
          <w:color w:val="555555"/>
        </w:rPr>
        <w:t>金，</w:t>
      </w:r>
      <w:r>
        <w:rPr>
          <w:rFonts w:hint="eastAsia" w:ascii="楷体_GB2312" w:hAnsi="楷体_GB2312" w:eastAsia="楷体_GB2312"/>
          <w:color w:val="555555"/>
        </w:rPr>
        <w:t>最迟在</w:t>
      </w:r>
      <w:r>
        <w:rPr>
          <w:rFonts w:ascii="楷体_GB2312" w:hAnsi="楷体_GB2312" w:eastAsia="楷体_GB2312"/>
          <w:color w:val="555555"/>
          <w:u w:val="single"/>
        </w:rPr>
        <w:t>《</w:t>
      </w:r>
      <w:r>
        <w:rPr>
          <w:rFonts w:hint="eastAsia" w:ascii="楷体_GB2312" w:hAnsi="楷体_GB2312" w:eastAsia="楷体_GB2312"/>
          <w:color w:val="555555"/>
          <w:u w:val="single"/>
        </w:rPr>
        <w:t>景州文体中心电影场馆委托运营服务合同</w:t>
      </w:r>
      <w:r>
        <w:rPr>
          <w:rFonts w:ascii="楷体_GB2312" w:hAnsi="楷体_GB2312" w:eastAsia="楷体_GB2312"/>
          <w:color w:val="555555"/>
          <w:u w:val="single"/>
        </w:rPr>
        <w:t>》</w:t>
      </w:r>
      <w:r>
        <w:rPr>
          <w:rFonts w:hint="eastAsia" w:ascii="楷体_GB2312" w:hAnsi="楷体_GB2312" w:eastAsia="楷体_GB2312"/>
          <w:color w:val="555555"/>
        </w:rPr>
        <w:t>签订后10日内向中标人和未中标的投标人退还投标保证金（无利息）</w:t>
      </w:r>
      <w:r>
        <w:rPr>
          <w:rFonts w:ascii="楷体_GB2312" w:hAnsi="楷体_GB2312" w:eastAsia="楷体_GB2312"/>
          <w:color w:val="555555"/>
        </w:rPr>
        <w:t>。</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65" w:name="_Toc2422"/>
      <w:bookmarkStart w:id="766" w:name="_Toc16367"/>
      <w:r>
        <w:rPr>
          <w:rFonts w:ascii="楷体_GB2312" w:hAnsi="楷体_GB2312" w:eastAsia="楷体_GB2312"/>
          <w:color w:val="555555"/>
          <w:szCs w:val="22"/>
        </w:rPr>
        <w:t>10. 保险和事故赔偿</w:t>
      </w:r>
      <w:bookmarkEnd w:id="765"/>
      <w:bookmarkEnd w:id="766"/>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r>
        <w:rPr>
          <w:rFonts w:ascii="楷体_GB2312" w:hAnsi="楷体_GB2312" w:eastAsia="楷体_GB2312"/>
          <w:b/>
          <w:color w:val="555555"/>
        </w:rPr>
        <w:t xml:space="preserve">10.1 </w:t>
      </w:r>
      <w:r>
        <w:rPr>
          <w:rFonts w:ascii="楷体_GB2312" w:hAnsi="楷体_GB2312" w:eastAsia="楷体_GB2312"/>
          <w:color w:val="555555"/>
        </w:rPr>
        <w:t xml:space="preserve"> 在租赁期内，乙方负责对自购自用设备、人员投保财产和人身险，并对经营行为投保公众责任险等相关保险。</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r>
        <w:rPr>
          <w:rFonts w:ascii="楷体_GB2312" w:hAnsi="楷体_GB2312" w:eastAsia="楷体_GB2312"/>
          <w:b/>
          <w:color w:val="555555"/>
        </w:rPr>
        <w:t>10.2</w:t>
      </w:r>
      <w:r>
        <w:rPr>
          <w:rFonts w:ascii="楷体_GB2312" w:hAnsi="楷体_GB2312" w:eastAsia="楷体_GB2312"/>
          <w:color w:val="555555"/>
        </w:rPr>
        <w:t xml:space="preserve">  因租赁标的物商铺或附属公共设施出险给乙方或第三方造成的损失，保险公司赔付不足的部分，由甲方承担；因乙方的设备或经营行为及乙方转租商户的行为出险给甲方或第三方造成的损失，保险公司赔付不足的部分，由乙方承担。</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67" w:name="_Toc25357"/>
      <w:bookmarkStart w:id="768" w:name="_Toc17463"/>
      <w:r>
        <w:rPr>
          <w:rFonts w:ascii="楷体_GB2312" w:hAnsi="楷体_GB2312" w:eastAsia="楷体_GB2312"/>
          <w:color w:val="555555"/>
          <w:szCs w:val="22"/>
        </w:rPr>
        <w:t>11. 防火责任</w:t>
      </w:r>
      <w:bookmarkEnd w:id="767"/>
      <w:bookmarkEnd w:id="768"/>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11.1</w:t>
      </w:r>
      <w:r>
        <w:rPr>
          <w:rFonts w:ascii="楷体_GB2312" w:hAnsi="楷体_GB2312" w:eastAsia="楷体_GB2312"/>
          <w:color w:val="555555"/>
        </w:rPr>
        <w:t xml:space="preserve">  甲乙双方应密切配合，共同做好租赁标物的内部及整个影院区域的防火工作。</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11.2</w:t>
      </w:r>
      <w:r>
        <w:rPr>
          <w:rFonts w:ascii="楷体_GB2312" w:hAnsi="楷体_GB2312" w:eastAsia="楷体_GB2312"/>
          <w:color w:val="555555"/>
        </w:rPr>
        <w:t xml:space="preserve">  甲方保证租赁标的物内的消防系统设计及质量的达标，达标以通过国家相关部门的验收为准，并按时接受国家相关部门的检验；甲方保证定期检查公共设备线路，乙方定期检查自购自用设备线路；乙方应按甲方</w:t>
      </w:r>
      <w:r>
        <w:rPr>
          <w:rFonts w:hint="eastAsia" w:ascii="楷体_GB2312" w:hAnsi="楷体_GB2312" w:eastAsia="楷体_GB2312"/>
          <w:color w:val="555555"/>
        </w:rPr>
        <w:t>运营部</w:t>
      </w:r>
      <w:r>
        <w:rPr>
          <w:rFonts w:ascii="楷体_GB2312" w:hAnsi="楷体_GB2312" w:eastAsia="楷体_GB2312"/>
          <w:color w:val="555555"/>
        </w:rPr>
        <w:t>及影院行业的防火要求实施防火，规范经营行为，杜绝火灾隐患。</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11.3</w:t>
      </w:r>
      <w:r>
        <w:rPr>
          <w:rFonts w:ascii="楷体_GB2312" w:hAnsi="楷体_GB2312" w:eastAsia="楷体_GB2312"/>
          <w:color w:val="555555"/>
        </w:rPr>
        <w:t xml:space="preserve">  因租赁标的物内部的消防系统的设计及质量本身存在缺陷所引起的火灾，保险公司赔付不足的部分，由甲方向乙方或第三方承担赔偿责任；因乙方的设备质量问题或经营行为引起的火灾，保险公司赔付不足的部分，由乙方向甲方或第三方承担赔偿责任。</w:t>
      </w:r>
    </w:p>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69" w:name="_Toc11877"/>
      <w:bookmarkStart w:id="770" w:name="_Toc28234"/>
      <w:r>
        <w:rPr>
          <w:rFonts w:ascii="楷体_GB2312" w:hAnsi="楷体_GB2312" w:eastAsia="楷体_GB2312"/>
          <w:color w:val="555555"/>
          <w:szCs w:val="22"/>
        </w:rPr>
        <w:t>12. 租赁标的之装修和改建</w:t>
      </w:r>
      <w:bookmarkEnd w:id="769"/>
      <w:bookmarkEnd w:id="770"/>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12.1</w:t>
      </w:r>
      <w:r>
        <w:rPr>
          <w:rFonts w:ascii="楷体_GB2312" w:hAnsi="楷体_GB2312" w:eastAsia="楷体_GB2312"/>
          <w:color w:val="555555"/>
        </w:rPr>
        <w:t xml:space="preserve">  乙方可根据经营需要对该租赁标的物进行合理的装修，但以不影响主体结构等为原则；乙方在对租赁标的物装修前，应向甲方提交内部装修、设备安装及陈设的设计图纸和详细说明，在未获得甲方的书面批准及办理完相关手续之前，乙方不得在租赁标的物内进行任何内部装修、设备安装及陈设，但甲方不得无理拒绝乙方的合理装修要求。</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12.2</w:t>
      </w:r>
      <w:r>
        <w:rPr>
          <w:rFonts w:ascii="楷体_GB2312" w:hAnsi="楷体_GB2312" w:eastAsia="楷体_GB2312"/>
          <w:color w:val="555555"/>
        </w:rPr>
        <w:t xml:space="preserve">  经甲乙双方书面协商一致，乙方可对租赁标的物进行改建，但不得毁坏主体结构及公共设施。</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 xml:space="preserve">12.3 </w:t>
      </w:r>
      <w:r>
        <w:rPr>
          <w:rFonts w:ascii="楷体_GB2312" w:hAnsi="楷体_GB2312" w:eastAsia="楷体_GB2312"/>
          <w:color w:val="555555"/>
        </w:rPr>
        <w:t xml:space="preserve"> 乙方二次装修的相关消防审批、施工、验收等工作由乙方自行负责办理，费用由乙方承担。甲方应协助乙方处理相关事项。</w:t>
      </w:r>
    </w:p>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71" w:name="_Toc21563"/>
      <w:bookmarkStart w:id="772" w:name="_Toc5246"/>
      <w:r>
        <w:rPr>
          <w:rFonts w:ascii="楷体_GB2312" w:hAnsi="楷体_GB2312" w:eastAsia="楷体_GB2312"/>
          <w:color w:val="555555"/>
          <w:szCs w:val="22"/>
        </w:rPr>
        <w:t>13. 租赁标的和公共设施的维修</w:t>
      </w:r>
      <w:bookmarkEnd w:id="771"/>
      <w:bookmarkEnd w:id="772"/>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13.1</w:t>
      </w:r>
      <w:r>
        <w:rPr>
          <w:rFonts w:ascii="楷体_GB2312" w:hAnsi="楷体_GB2312" w:eastAsia="楷体_GB2312"/>
          <w:color w:val="555555"/>
        </w:rPr>
        <w:t xml:space="preserve">  租赁期内，甲方负责对租赁标的的主体结构和附属公共设施进行定期的维修保养，以保证租赁标的物和附属公共设施的安全和正常使用。如在租赁期内租赁标的物的主体结构和附属公共设施等出现损坏或故障时，甲方应在接到乙方书面维修通知后的24小时内进行维修，甲方未能在24小时内维修的，乙方可自行维修，费用由甲方承担。</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13.2</w:t>
      </w:r>
      <w:r>
        <w:rPr>
          <w:rFonts w:ascii="楷体_GB2312" w:hAnsi="楷体_GB2312" w:eastAsia="楷体_GB2312"/>
          <w:color w:val="555555"/>
        </w:rPr>
        <w:t xml:space="preserve">  租赁期内，乙方自行进行对该区域的内部装修、各种设备的维修保养工作及该区域内的灭虫、清洁工作，并承担全部费用，同时乙方须保持该区域及其设施处于良好状况，并承担所有因失修或损毁而对他人造成的人身伤害或财物损失的责任。</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13.3</w:t>
      </w:r>
      <w:r>
        <w:rPr>
          <w:rFonts w:ascii="楷体_GB2312" w:hAnsi="楷体_GB2312" w:eastAsia="楷体_GB2312"/>
          <w:color w:val="555555"/>
        </w:rPr>
        <w:t xml:space="preserve">  因乙方使用不当或违规操作，造成租赁标的物的主体结构或附属公共设施损坏的，由乙方负责维修或赔偿。</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13.4</w:t>
      </w:r>
      <w:r>
        <w:rPr>
          <w:rFonts w:ascii="楷体_GB2312" w:hAnsi="楷体_GB2312" w:eastAsia="楷体_GB2312"/>
          <w:color w:val="555555"/>
        </w:rPr>
        <w:t xml:space="preserve">  因水、电等市政部门或自然灾害原因造成的租赁标的物或附属公共设施故障导致乙方遭受损害，甲方不能在24小时内维修的，甲方不承担责任。但甲方应采取必要措施以减少损害的发生。</w:t>
      </w:r>
    </w:p>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73" w:name="_Toc23112"/>
      <w:bookmarkStart w:id="774" w:name="_Toc6479"/>
      <w:r>
        <w:rPr>
          <w:rFonts w:ascii="楷体_GB2312" w:hAnsi="楷体_GB2312" w:eastAsia="楷体_GB2312"/>
          <w:color w:val="555555"/>
          <w:szCs w:val="22"/>
        </w:rPr>
        <w:t>14. 相邻关系的协调</w:t>
      </w:r>
      <w:bookmarkEnd w:id="773"/>
      <w:bookmarkEnd w:id="774"/>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14.1</w:t>
      </w:r>
      <w:r>
        <w:rPr>
          <w:rFonts w:ascii="楷体_GB2312" w:hAnsi="楷体_GB2312" w:eastAsia="楷体_GB2312"/>
          <w:color w:val="555555"/>
        </w:rPr>
        <w:t xml:space="preserve">  甲方应根据</w:t>
      </w:r>
      <w:r>
        <w:rPr>
          <w:rFonts w:hint="eastAsia" w:ascii="楷体_GB2312" w:hAnsi="楷体_GB2312" w:eastAsia="楷体_GB2312"/>
          <w:color w:val="555555"/>
        </w:rPr>
        <w:t>电影场馆</w:t>
      </w:r>
      <w:r>
        <w:rPr>
          <w:rFonts w:ascii="楷体_GB2312" w:hAnsi="楷体_GB2312" w:eastAsia="楷体_GB2312"/>
          <w:color w:val="555555"/>
        </w:rPr>
        <w:t>区域的具体情况制作相关规定，以处理各租户之间的相邻关系，乙方应遵守此规定。</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14.2</w:t>
      </w:r>
      <w:r>
        <w:rPr>
          <w:rFonts w:ascii="楷体_GB2312" w:hAnsi="楷体_GB2312" w:eastAsia="楷体_GB2312"/>
          <w:color w:val="555555"/>
        </w:rPr>
        <w:t xml:space="preserve">  甲方应避免承租人之间出现同业竞争的冲突或对环境要求的冲突。在经营过程中，对于乙方与相邻各方在环境卫生、空气质量、噪音控制、电力分配、人流疏散等方面产生的冲突，甲方应积极协调解决。</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 xml:space="preserve">14.3 </w:t>
      </w:r>
      <w:r>
        <w:rPr>
          <w:rFonts w:ascii="楷体_GB2312" w:hAnsi="楷体_GB2312" w:eastAsia="楷体_GB2312"/>
          <w:color w:val="555555"/>
        </w:rPr>
        <w:t xml:space="preserve"> 因第三方原因或者政府行为导致乙方不能正常经营的情况发生时，甲方应当</w:t>
      </w:r>
      <w:r>
        <w:rPr>
          <w:rFonts w:hint="eastAsia" w:ascii="楷体_GB2312" w:hAnsi="楷体_GB2312" w:eastAsia="楷体_GB2312"/>
          <w:color w:val="555555"/>
        </w:rPr>
        <w:t>配合乙方进行协调沟通工作</w:t>
      </w:r>
      <w:r>
        <w:rPr>
          <w:rFonts w:ascii="楷体_GB2312" w:hAnsi="楷体_GB2312" w:eastAsia="楷体_GB2312"/>
          <w:color w:val="555555"/>
        </w:rPr>
        <w:t>。</w:t>
      </w:r>
    </w:p>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75" w:name="_Toc31678"/>
      <w:bookmarkStart w:id="776" w:name="_Toc11943"/>
      <w:r>
        <w:rPr>
          <w:rFonts w:ascii="楷体_GB2312" w:hAnsi="楷体_GB2312" w:eastAsia="楷体_GB2312"/>
          <w:color w:val="555555"/>
          <w:szCs w:val="22"/>
        </w:rPr>
        <w:t>15. 租赁标的之续租和返还</w:t>
      </w:r>
      <w:bookmarkEnd w:id="775"/>
      <w:bookmarkEnd w:id="776"/>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15.1</w:t>
      </w:r>
      <w:r>
        <w:rPr>
          <w:rFonts w:ascii="楷体_GB2312" w:hAnsi="楷体_GB2312" w:eastAsia="楷体_GB2312"/>
          <w:color w:val="555555"/>
        </w:rPr>
        <w:t xml:space="preserve">  租期届满，甲方有权收回出租区域，乙方亦应如期交还；乙方在期满后如要求续租，则在同等条件下享有优先续租权，但须在本租约期满前的六</w:t>
      </w:r>
      <w:r>
        <w:rPr>
          <w:rFonts w:ascii="楷体_GB2312" w:hAnsi="楷体_GB2312" w:eastAsia="楷体_GB2312"/>
          <w:b/>
          <w:color w:val="555555"/>
        </w:rPr>
        <w:t>（6）</w:t>
      </w:r>
      <w:r>
        <w:rPr>
          <w:rFonts w:ascii="楷体_GB2312" w:hAnsi="楷体_GB2312" w:eastAsia="楷体_GB2312"/>
          <w:color w:val="555555"/>
        </w:rPr>
        <w:t>个月书面通知甲方，否则，视为乙方放弃优先续租权。</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15.</w:t>
      </w:r>
      <w:r>
        <w:rPr>
          <w:rFonts w:hint="eastAsia" w:ascii="楷体_GB2312" w:hAnsi="楷体_GB2312" w:eastAsia="楷体_GB2312"/>
          <w:b/>
          <w:color w:val="555555"/>
        </w:rPr>
        <w:t>2</w:t>
      </w:r>
      <w:r>
        <w:rPr>
          <w:rFonts w:ascii="楷体_GB2312" w:hAnsi="楷体_GB2312" w:eastAsia="楷体_GB2312"/>
          <w:color w:val="555555"/>
        </w:rPr>
        <w:t xml:space="preserve">  本合同租赁期限届满后双方不再续签租赁合同的，或本合同提前终止的，乙方应在退租之前结清所有于本合同下尚未清缴的款项；并在租赁期限届满之日起或本合同提前终止之日起15日内清空该区域，将该区域及其设施保持完好无损的交还甲方。</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15.</w:t>
      </w:r>
      <w:r>
        <w:rPr>
          <w:rFonts w:hint="eastAsia" w:ascii="楷体_GB2312" w:hAnsi="楷体_GB2312" w:eastAsia="楷体_GB2312"/>
          <w:b/>
          <w:color w:val="555555"/>
        </w:rPr>
        <w:t>3</w:t>
      </w:r>
      <w:r>
        <w:rPr>
          <w:rFonts w:ascii="楷体_GB2312" w:hAnsi="楷体_GB2312" w:eastAsia="楷体_GB2312"/>
          <w:color w:val="555555"/>
        </w:rPr>
        <w:t xml:space="preserve">  乙方有权拆除、取回乙方所有的设备之一部分或全部；乙方在本合同终止日起30日内未拆除取回之物品，视为乙方放弃遗留物品之所有权，归甲方所有并由甲方处理。</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r>
        <w:rPr>
          <w:rFonts w:ascii="楷体_GB2312" w:hAnsi="楷体_GB2312" w:eastAsia="楷体_GB2312"/>
          <w:b/>
          <w:color w:val="555555"/>
        </w:rPr>
        <w:t>15.</w:t>
      </w:r>
      <w:r>
        <w:rPr>
          <w:rFonts w:hint="eastAsia" w:ascii="楷体_GB2312" w:hAnsi="楷体_GB2312" w:eastAsia="楷体_GB2312"/>
          <w:b/>
          <w:color w:val="555555"/>
        </w:rPr>
        <w:t>4</w:t>
      </w:r>
      <w:r>
        <w:rPr>
          <w:rFonts w:ascii="楷体_GB2312" w:hAnsi="楷体_GB2312" w:eastAsia="楷体_GB2312"/>
          <w:color w:val="555555"/>
        </w:rPr>
        <w:t xml:space="preserve"> </w:t>
      </w:r>
      <w:r>
        <w:rPr>
          <w:rFonts w:hint="eastAsia" w:ascii="楷体_GB2312" w:hAnsi="楷体_GB2312" w:eastAsia="楷体_GB2312"/>
          <w:color w:val="555555"/>
        </w:rPr>
        <w:t xml:space="preserve"> </w:t>
      </w:r>
      <w:r>
        <w:rPr>
          <w:rFonts w:ascii="楷体_GB2312" w:hAnsi="楷体_GB2312" w:eastAsia="楷体_GB2312"/>
          <w:color w:val="555555"/>
        </w:rPr>
        <w:t>清场结束，经甲方验收合格、出具书面证明且乙方并不存在任何违约行为的情况下，甲方于7日内将</w:t>
      </w:r>
      <w:r>
        <w:rPr>
          <w:rFonts w:ascii="楷体_GB2312" w:hAnsi="楷体_GB2312" w:eastAsia="楷体_GB2312"/>
          <w:b/>
          <w:color w:val="555555"/>
        </w:rPr>
        <w:t>多收的租金等款项</w:t>
      </w:r>
      <w:r>
        <w:rPr>
          <w:rFonts w:ascii="楷体_GB2312" w:hAnsi="楷体_GB2312" w:eastAsia="楷体_GB2312"/>
          <w:color w:val="555555"/>
        </w:rPr>
        <w:t>退还给乙方。若验收不合格，甲方有权根据破损情况予以扣款，并依法向乙方提出进一步索赔。</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77" w:name="_Toc5000"/>
      <w:bookmarkStart w:id="778" w:name="_Toc32540"/>
      <w:r>
        <w:rPr>
          <w:rFonts w:ascii="楷体_GB2312" w:hAnsi="楷体_GB2312" w:eastAsia="楷体_GB2312"/>
          <w:color w:val="555555"/>
          <w:szCs w:val="22"/>
        </w:rPr>
        <w:t>16. 双方其他权利义务</w:t>
      </w:r>
      <w:bookmarkEnd w:id="777"/>
      <w:bookmarkEnd w:id="778"/>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16.1</w:t>
      </w:r>
      <w:r>
        <w:rPr>
          <w:rFonts w:ascii="楷体_GB2312" w:hAnsi="楷体_GB2312" w:eastAsia="楷体_GB2312"/>
          <w:color w:val="555555"/>
        </w:rPr>
        <w:t xml:space="preserve">  在租赁期内，由于甲方对租赁标的物拥有合法的所有权以及维护管理权，甲方或其代表出于管理需要可以进入该租赁区域，但不得影响乙方的正常经营。</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 xml:space="preserve">16.2 </w:t>
      </w:r>
      <w:r>
        <w:rPr>
          <w:rFonts w:ascii="楷体_GB2312" w:hAnsi="楷体_GB2312" w:eastAsia="楷体_GB2312"/>
          <w:color w:val="555555"/>
        </w:rPr>
        <w:t xml:space="preserve"> 在租赁期内，甲方确需对乙方租赁的区域进行改建或扩建的，应事先征得乙方同意，且施工不得影响乙方正常营业。</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16.3</w:t>
      </w:r>
      <w:r>
        <w:rPr>
          <w:rFonts w:ascii="楷体_GB2312" w:hAnsi="楷体_GB2312" w:eastAsia="楷体_GB2312"/>
          <w:color w:val="555555"/>
        </w:rPr>
        <w:t xml:space="preserve">  乙方可根据其营业需要，经甲方书面认可，自行确定营业时间，甲方确保乙方在其营业时间内可根据需要正常使用相关的通道、电梯、空调、盥洗室、停车场等公共设施。</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eastAsia="楷体_GB2312"/>
          <w:color w:val="555555"/>
        </w:rPr>
      </w:pPr>
      <w:r>
        <w:rPr>
          <w:rFonts w:ascii="楷体_GB2312" w:hAnsi="楷体_GB2312" w:eastAsia="楷体_GB2312"/>
          <w:b/>
          <w:color w:val="555555"/>
        </w:rPr>
        <w:t>16.4</w:t>
      </w:r>
      <w:r>
        <w:rPr>
          <w:rFonts w:ascii="楷体_GB2312" w:hAnsi="楷体_GB2312" w:eastAsia="楷体_GB2312"/>
          <w:color w:val="555555"/>
        </w:rPr>
        <w:t xml:space="preserve">  在符合甲方整体</w:t>
      </w:r>
      <w:r>
        <w:rPr>
          <w:rFonts w:hint="eastAsia" w:ascii="楷体_GB2312" w:hAnsi="楷体_GB2312" w:eastAsia="楷体_GB2312"/>
          <w:color w:val="555555"/>
        </w:rPr>
        <w:t>运营</w:t>
      </w:r>
      <w:r>
        <w:rPr>
          <w:rFonts w:ascii="楷体_GB2312" w:hAnsi="楷体_GB2312" w:eastAsia="楷体_GB2312"/>
          <w:color w:val="555555"/>
        </w:rPr>
        <w:t>规划设计和报批相关部门允许的前提下，乙方须在本合同签订后三十至九十</w:t>
      </w:r>
      <w:r>
        <w:rPr>
          <w:rFonts w:ascii="楷体_GB2312" w:hAnsi="楷体_GB2312" w:eastAsia="楷体_GB2312"/>
          <w:b/>
          <w:color w:val="555555"/>
        </w:rPr>
        <w:t>（30-90）</w:t>
      </w:r>
      <w:r>
        <w:rPr>
          <w:rFonts w:ascii="楷体_GB2312" w:hAnsi="楷体_GB2312" w:eastAsia="楷体_GB2312"/>
          <w:color w:val="555555"/>
        </w:rPr>
        <w:t>日内，根据经营需要向甲方提出包括LED、海报、楼顶架设影院标识的霓虹灯的位置、规格、设计方案以及所用相关电子产品的品牌的“影院项目招牌及广告位置的整体方案”</w:t>
      </w:r>
      <w:r>
        <w:rPr>
          <w:rFonts w:hint="eastAsia" w:ascii="楷体_GB2312" w:hAnsi="楷体_GB2312" w:eastAsia="楷体_GB2312"/>
          <w:color w:val="555555"/>
        </w:rPr>
        <w:t>。</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16.</w:t>
      </w:r>
      <w:r>
        <w:rPr>
          <w:rFonts w:hint="eastAsia" w:ascii="楷体_GB2312" w:hAnsi="楷体_GB2312" w:eastAsia="楷体_GB2312"/>
          <w:b/>
          <w:color w:val="555555"/>
        </w:rPr>
        <w:t>5</w:t>
      </w:r>
      <w:r>
        <w:rPr>
          <w:rFonts w:ascii="楷体_GB2312" w:hAnsi="楷体_GB2312" w:eastAsia="楷体_GB2312"/>
          <w:color w:val="555555"/>
        </w:rPr>
        <w:t xml:space="preserve">  除当地政府进行限制外，甲方保证乙方工作人员及其顾客在标的区域四周通道和进出标的区域的出入口的无障碍通行权。</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16.</w:t>
      </w:r>
      <w:r>
        <w:rPr>
          <w:rFonts w:hint="eastAsia" w:ascii="楷体_GB2312" w:hAnsi="楷体_GB2312" w:eastAsia="楷体_GB2312"/>
          <w:b/>
          <w:color w:val="555555"/>
        </w:rPr>
        <w:t>6</w:t>
      </w:r>
      <w:r>
        <w:rPr>
          <w:rFonts w:ascii="楷体_GB2312" w:hAnsi="楷体_GB2312" w:eastAsia="楷体_GB2312"/>
          <w:color w:val="555555"/>
        </w:rPr>
        <w:t xml:space="preserve">  乙方应按合同约定接收租赁标的物、装修、试营业，并按约定用途使用租赁标的物。</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16.7</w:t>
      </w:r>
      <w:r>
        <w:rPr>
          <w:rFonts w:hint="eastAsia" w:ascii="楷体_GB2312" w:hAnsi="楷体_GB2312" w:eastAsia="楷体_GB2312"/>
          <w:b/>
          <w:color w:val="555555"/>
        </w:rPr>
        <w:t xml:space="preserve">  </w:t>
      </w:r>
      <w:r>
        <w:rPr>
          <w:rFonts w:ascii="楷体_GB2312" w:hAnsi="楷体_GB2312" w:eastAsia="楷体_GB2312"/>
          <w:color w:val="555555"/>
        </w:rPr>
        <w:t>乙方负责租赁标的的消防管理并积极配合甲方对公用部分的消防管理。</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16.</w:t>
      </w:r>
      <w:r>
        <w:rPr>
          <w:rFonts w:hint="eastAsia" w:ascii="楷体_GB2312" w:hAnsi="楷体_GB2312" w:eastAsia="楷体_GB2312"/>
          <w:b/>
          <w:color w:val="555555"/>
        </w:rPr>
        <w:t>8</w:t>
      </w:r>
      <w:r>
        <w:rPr>
          <w:rFonts w:ascii="楷体_GB2312" w:hAnsi="楷体_GB2312" w:eastAsia="楷体_GB2312"/>
          <w:color w:val="555555"/>
        </w:rPr>
        <w:t xml:space="preserve">  乙方保证租赁标的物在租赁期内处于良好的使用状态，并对其工作人员、代理人、转租后的承租人等给租赁标的物及公共设施造成的损害承担赔偿责任。</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16.</w:t>
      </w:r>
      <w:r>
        <w:rPr>
          <w:rFonts w:hint="eastAsia" w:ascii="楷体_GB2312" w:hAnsi="楷体_GB2312" w:eastAsia="楷体_GB2312"/>
          <w:b/>
          <w:color w:val="555555"/>
        </w:rPr>
        <w:t>9</w:t>
      </w:r>
      <w:r>
        <w:rPr>
          <w:rFonts w:ascii="楷体_GB2312" w:hAnsi="楷体_GB2312" w:eastAsia="楷体_GB2312"/>
          <w:color w:val="555555"/>
        </w:rPr>
        <w:t xml:space="preserve">  乙方应严格遵守甲方制定的管理规定，不得利用租赁的标的物从事违法活动。</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16.1</w:t>
      </w:r>
      <w:r>
        <w:rPr>
          <w:rFonts w:hint="eastAsia" w:ascii="楷体_GB2312" w:hAnsi="楷体_GB2312" w:eastAsia="楷体_GB2312"/>
          <w:b/>
          <w:color w:val="555555"/>
        </w:rPr>
        <w:t>0</w:t>
      </w:r>
      <w:r>
        <w:rPr>
          <w:rFonts w:ascii="楷体_GB2312" w:hAnsi="楷体_GB2312" w:eastAsia="楷体_GB2312"/>
          <w:color w:val="555555"/>
        </w:rPr>
        <w:t xml:space="preserve"> 甲乙双方确认，本合同的所有条款都是在双方完全明了的情况下自愿签署，不存在任何导致无效</w:t>
      </w:r>
      <w:r>
        <w:rPr>
          <w:rFonts w:hint="eastAsia" w:ascii="楷体_GB2312" w:hAnsi="楷体_GB2312" w:eastAsia="楷体_GB2312"/>
          <w:color w:val="555555"/>
        </w:rPr>
        <w:t>、</w:t>
      </w:r>
      <w:r>
        <w:rPr>
          <w:rFonts w:ascii="楷体_GB2312" w:hAnsi="楷体_GB2312" w:eastAsia="楷体_GB2312"/>
          <w:color w:val="555555"/>
        </w:rPr>
        <w:t>部分无效或重大误解和显失公平的问题。</w:t>
      </w: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79" w:name="_Toc30193"/>
      <w:bookmarkStart w:id="780" w:name="_Toc1369"/>
      <w:r>
        <w:rPr>
          <w:rFonts w:ascii="楷体_GB2312" w:hAnsi="楷体_GB2312" w:eastAsia="楷体_GB2312"/>
          <w:color w:val="555555"/>
          <w:szCs w:val="22"/>
        </w:rPr>
        <w:t>17. 违约责任</w:t>
      </w:r>
      <w:bookmarkEnd w:id="779"/>
      <w:bookmarkEnd w:id="780"/>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17.1</w:t>
      </w:r>
      <w:r>
        <w:rPr>
          <w:rFonts w:ascii="楷体_GB2312" w:hAnsi="楷体_GB2312" w:eastAsia="楷体_GB2312"/>
          <w:color w:val="555555"/>
        </w:rPr>
        <w:t xml:space="preserve"> </w:t>
      </w:r>
      <w:r>
        <w:rPr>
          <w:rFonts w:hint="eastAsia" w:ascii="楷体_GB2312" w:hAnsi="楷体_GB2312" w:eastAsia="楷体_GB2312"/>
          <w:color w:val="555555"/>
        </w:rPr>
        <w:t xml:space="preserve"> </w:t>
      </w:r>
      <w:r>
        <w:rPr>
          <w:rFonts w:ascii="楷体_GB2312" w:hAnsi="楷体_GB2312" w:eastAsia="楷体_GB2312"/>
          <w:color w:val="555555"/>
        </w:rPr>
        <w:t>甲、乙双方同意：任何一方需提前解除合同的，必须经双方协商一致并签署书面协议。因乙方原因导致本合同提前解除，应按上一年度应计全年租金总额的1倍赔偿甲方，且甲方有权</w:t>
      </w:r>
      <w:r>
        <w:rPr>
          <w:rFonts w:hint="eastAsia" w:ascii="楷体_GB2312" w:hAnsi="楷体_GB2312" w:eastAsia="楷体_GB2312"/>
          <w:color w:val="555555"/>
        </w:rPr>
        <w:t>提取乙方担保项下的金额</w:t>
      </w:r>
      <w:r>
        <w:rPr>
          <w:rFonts w:ascii="楷体_GB2312" w:hAnsi="楷体_GB2312" w:eastAsia="楷体_GB2312"/>
          <w:color w:val="555555"/>
        </w:rPr>
        <w:t>；因甲方单方面原因导致合同解除，则由甲方按上一年度收取的全年租金总额的1倍赔偿乙方，且</w:t>
      </w:r>
      <w:r>
        <w:rPr>
          <w:rFonts w:hint="eastAsia" w:ascii="楷体_GB2312" w:hAnsi="楷体_GB2312" w:eastAsia="楷体_GB2312"/>
          <w:color w:val="555555"/>
        </w:rPr>
        <w:t>返回履约保函</w:t>
      </w:r>
      <w:r>
        <w:rPr>
          <w:rFonts w:ascii="楷体_GB2312" w:hAnsi="楷体_GB2312" w:eastAsia="楷体_GB2312"/>
          <w:color w:val="555555"/>
        </w:rPr>
        <w:t>。如赔偿金不足以弥补对方的实际损失，违约方应另行赔偿不足部分的金额。</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17.2</w:t>
      </w:r>
      <w:r>
        <w:rPr>
          <w:rFonts w:ascii="楷体_GB2312" w:hAnsi="楷体_GB2312" w:eastAsia="楷体_GB2312"/>
          <w:color w:val="555555"/>
        </w:rPr>
        <w:t xml:space="preserve">  乙方未按约定日期缴纳租金、水电空调等费用的，每逾期一日，应按应付未付费用的万分之五向甲方支付违约金。在甲方发出书面催缴通知后30日内无正当理由内仍未支付的，甲方可停止向乙方提供能源，对乙方存放于租赁标的物内的所有物品有权留置（乙方的供应商保留所有权的物品除外），乙方在甲方留置该等物品满60日后仍未支付全部费用的，甲方有权解除合同。</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81" w:name="_Toc15164"/>
      <w:bookmarkStart w:id="782" w:name="_Toc19416"/>
      <w:r>
        <w:rPr>
          <w:rFonts w:ascii="楷体_GB2312" w:hAnsi="楷体_GB2312" w:eastAsia="楷体_GB2312"/>
          <w:color w:val="555555"/>
          <w:szCs w:val="22"/>
        </w:rPr>
        <w:t>18. 合同解除</w:t>
      </w:r>
      <w:bookmarkEnd w:id="781"/>
      <w:bookmarkEnd w:id="782"/>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18.1</w:t>
      </w:r>
      <w:r>
        <w:rPr>
          <w:rFonts w:ascii="楷体_GB2312" w:hAnsi="楷体_GB2312" w:eastAsia="楷体_GB2312"/>
          <w:color w:val="555555"/>
        </w:rPr>
        <w:t xml:space="preserve">  双方协商一致，可解除本合同，除本合同或双方以其他补充协议另有约定外，任何一方无权要求单方解除合同。</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18.2</w:t>
      </w:r>
      <w:r>
        <w:rPr>
          <w:rFonts w:ascii="楷体_GB2312" w:hAnsi="楷体_GB2312" w:eastAsia="楷体_GB2312"/>
          <w:color w:val="555555"/>
        </w:rPr>
        <w:t xml:space="preserve">  出现本合同第17条规定的解除情形时，合同解除。</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18.3</w:t>
      </w:r>
      <w:r>
        <w:rPr>
          <w:rFonts w:ascii="楷体_GB2312" w:hAnsi="楷体_GB2312" w:eastAsia="楷体_GB2312"/>
          <w:color w:val="555555"/>
        </w:rPr>
        <w:t xml:space="preserve">  发生地震、洪水、暴风雪、不可预见的政府行为等不可抗力事件致使合同无法履行或无必要履行时，合同解除，双方互不承担违约责任，通过友好协商解决遗留问题。</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18.4</w:t>
      </w:r>
      <w:r>
        <w:rPr>
          <w:rFonts w:ascii="楷体_GB2312" w:hAnsi="楷体_GB2312" w:eastAsia="楷体_GB2312"/>
          <w:color w:val="555555"/>
        </w:rPr>
        <w:t xml:space="preserve">  因不可抗力事件对本合同的履行造成影响，除解除合同外，双方还可协商决定是否部分免除合同责任，或延期履行合同。</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r>
        <w:rPr>
          <w:rFonts w:ascii="楷体_GB2312" w:hAnsi="楷体_GB2312" w:eastAsia="楷体_GB2312"/>
          <w:b/>
          <w:color w:val="555555"/>
        </w:rPr>
        <w:t>18.5</w:t>
      </w:r>
      <w:r>
        <w:rPr>
          <w:rFonts w:ascii="楷体_GB2312" w:hAnsi="楷体_GB2312" w:eastAsia="楷体_GB2312"/>
          <w:color w:val="555555"/>
        </w:rPr>
        <w:t xml:space="preserve">  遇有不可抗力的一方，应立即以适当方式通知另一方，并在十五日内提供不可抗力详情及合同不能履行、不能全部履行或需延期履行的有效证明，并应尽力减少因不可抗力造成的损失。</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83" w:name="_Toc9052"/>
      <w:bookmarkStart w:id="784" w:name="_Toc29058"/>
      <w:r>
        <w:rPr>
          <w:rFonts w:ascii="楷体_GB2312" w:hAnsi="楷体_GB2312" w:eastAsia="楷体_GB2312"/>
          <w:color w:val="555555"/>
          <w:szCs w:val="22"/>
        </w:rPr>
        <w:t>19．适用法律及解决争议</w:t>
      </w:r>
      <w:bookmarkEnd w:id="783"/>
      <w:bookmarkEnd w:id="784"/>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19.1</w:t>
      </w:r>
      <w:r>
        <w:rPr>
          <w:rFonts w:ascii="楷体_GB2312" w:hAnsi="楷体_GB2312" w:eastAsia="楷体_GB2312"/>
          <w:color w:val="555555"/>
        </w:rPr>
        <w:t xml:space="preserve">  本合同及其全部附件均适用中华人民共和国的法律。</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r>
        <w:rPr>
          <w:rFonts w:ascii="楷体_GB2312" w:hAnsi="楷体_GB2312" w:eastAsia="楷体_GB2312"/>
          <w:b/>
          <w:color w:val="555555"/>
        </w:rPr>
        <w:t>19.2</w:t>
      </w:r>
      <w:r>
        <w:rPr>
          <w:rFonts w:ascii="楷体_GB2312" w:hAnsi="楷体_GB2312" w:eastAsia="楷体_GB2312"/>
          <w:color w:val="555555"/>
        </w:rPr>
        <w:t xml:space="preserve">  甲、乙双方为解释及履行本合同所发生的争议，如通过友好协商仍不能解决的，任何一方应向甲方租赁标的所在地人民法院提起诉讼。</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85" w:name="_Toc14291"/>
      <w:bookmarkStart w:id="786" w:name="_Toc6418"/>
      <w:r>
        <w:rPr>
          <w:rFonts w:ascii="楷体_GB2312" w:hAnsi="楷体_GB2312" w:eastAsia="楷体_GB2312"/>
          <w:color w:val="555555"/>
          <w:szCs w:val="22"/>
        </w:rPr>
        <w:t>20．合同的生效</w:t>
      </w:r>
      <w:bookmarkEnd w:id="785"/>
      <w:bookmarkEnd w:id="786"/>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r>
        <w:rPr>
          <w:rFonts w:ascii="楷体_GB2312" w:hAnsi="楷体_GB2312" w:eastAsia="楷体_GB2312"/>
          <w:b/>
          <w:color w:val="555555"/>
        </w:rPr>
        <w:t>20.1</w:t>
      </w:r>
      <w:r>
        <w:rPr>
          <w:rFonts w:ascii="楷体_GB2312" w:hAnsi="楷体_GB2312" w:eastAsia="楷体_GB2312"/>
          <w:color w:val="555555"/>
        </w:rPr>
        <w:t xml:space="preserve">  本合同自双方代表签字并加盖公章之日起生效。</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87" w:name="_Toc3240"/>
      <w:bookmarkStart w:id="788" w:name="_Toc30041"/>
      <w:r>
        <w:rPr>
          <w:rFonts w:ascii="楷体_GB2312" w:hAnsi="楷体_GB2312" w:eastAsia="楷体_GB2312"/>
          <w:color w:val="555555"/>
          <w:szCs w:val="22"/>
        </w:rPr>
        <w:t>21. 其他</w:t>
      </w:r>
      <w:bookmarkEnd w:id="787"/>
      <w:bookmarkEnd w:id="788"/>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21.1</w:t>
      </w:r>
      <w:r>
        <w:rPr>
          <w:rFonts w:ascii="楷体_GB2312" w:hAnsi="楷体_GB2312" w:eastAsia="楷体_GB2312"/>
          <w:color w:val="555555"/>
        </w:rPr>
        <w:t xml:space="preserve">  本合同若有未尽事宜，经双方协商后以会议纪要、传真、补充协议等书面方式补充约定，经双方盖章确认后与本合同具有同等法律效力。</w:t>
      </w:r>
      <w:r>
        <w:rPr>
          <w:rFonts w:ascii="楷体_GB2312" w:hAnsi="楷体_GB2312" w:eastAsia="楷体_GB2312"/>
          <w:b/>
          <w:color w:val="555555"/>
        </w:rPr>
        <w:t>双方不能达成一致时，应当按照《合同法》中的相关规定执行。</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21.2</w:t>
      </w:r>
      <w:r>
        <w:rPr>
          <w:rFonts w:ascii="楷体_GB2312" w:hAnsi="楷体_GB2312" w:eastAsia="楷体_GB2312"/>
          <w:color w:val="555555"/>
        </w:rPr>
        <w:t xml:space="preserve">  未经对方事先书面同意，任何一方不得让与、或以其他方式转让、或声称让与其在本合同下的全部或部分权利、权益、责任或义务。</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21.3</w:t>
      </w:r>
      <w:r>
        <w:rPr>
          <w:rFonts w:ascii="楷体_GB2312" w:hAnsi="楷体_GB2312" w:eastAsia="楷体_GB2312"/>
          <w:color w:val="555555"/>
        </w:rPr>
        <w:t xml:space="preserve">  本合同所有条款均为商业机密，双方均有义务保守秘密，若有泄漏，由泄漏方承担违约责任。</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21.4</w:t>
      </w:r>
      <w:r>
        <w:rPr>
          <w:rFonts w:ascii="楷体_GB2312" w:hAnsi="楷体_GB2312" w:eastAsia="楷体_GB2312"/>
          <w:color w:val="555555"/>
        </w:rPr>
        <w:t xml:space="preserve">  本合同的附件是本合同不可分割的组成部分，与本合同具有同等的效力。</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b/>
          <w:color w:val="555555"/>
        </w:rPr>
        <w:t>21.5</w:t>
      </w:r>
      <w:r>
        <w:rPr>
          <w:rFonts w:ascii="楷体_GB2312" w:hAnsi="楷体_GB2312" w:eastAsia="楷体_GB2312"/>
          <w:color w:val="555555"/>
        </w:rPr>
        <w:t xml:space="preserve">  本合同条款正文均为打印，手写或口头约定一律无效。</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r>
        <w:rPr>
          <w:rFonts w:ascii="楷体_GB2312" w:hAnsi="楷体_GB2312" w:eastAsia="楷体_GB2312"/>
          <w:b/>
          <w:color w:val="555555"/>
        </w:rPr>
        <w:t>21.6</w:t>
      </w:r>
      <w:r>
        <w:rPr>
          <w:rFonts w:ascii="楷体_GB2312" w:hAnsi="楷体_GB2312" w:eastAsia="楷体_GB2312"/>
          <w:color w:val="555555"/>
        </w:rPr>
        <w:t xml:space="preserve">  本合同正本一式八份，甲、乙双方各持四份，每份具有同等法律效力，复印件无效。</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outlineLvl w:val="0"/>
        <w:rPr>
          <w:rFonts w:ascii="楷体_GB2312" w:hAnsi="楷体_GB2312" w:eastAsia="楷体_GB2312"/>
          <w:color w:val="555555"/>
          <w:szCs w:val="22"/>
        </w:rPr>
      </w:pPr>
      <w:bookmarkStart w:id="789" w:name="_Toc10297"/>
      <w:bookmarkStart w:id="790" w:name="_Toc22214"/>
      <w:r>
        <w:rPr>
          <w:rFonts w:ascii="楷体_GB2312" w:hAnsi="楷体_GB2312" w:eastAsia="楷体_GB2312"/>
          <w:color w:val="555555"/>
          <w:szCs w:val="22"/>
        </w:rPr>
        <w:t>22. 合同的附件：</w:t>
      </w:r>
      <w:bookmarkEnd w:id="789"/>
      <w:bookmarkEnd w:id="790"/>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附件一：租赁场地的位置及面积；</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附件二：甲乙双方营业执照复印件。</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楷体_GB2312" w:hAnsi="楷体_GB2312" w:eastAsia="楷体_GB2312"/>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甲方：</w:t>
      </w:r>
      <w:r>
        <w:rPr>
          <w:rFonts w:hint="eastAsia" w:ascii="楷体_GB2312" w:hAnsi="楷体_GB2312" w:eastAsia="楷体_GB2312"/>
          <w:color w:val="555555"/>
        </w:rPr>
        <w:t xml:space="preserve">                 </w:t>
      </w:r>
      <w:r>
        <w:rPr>
          <w:rFonts w:ascii="楷体_GB2312" w:hAnsi="楷体_GB2312" w:eastAsia="楷体_GB2312"/>
          <w:color w:val="555555"/>
        </w:rPr>
        <w:t>乙方：</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 xml:space="preserve">地址： </w:t>
      </w:r>
      <w:r>
        <w:rPr>
          <w:rFonts w:hint="eastAsia" w:ascii="楷体_GB2312" w:hAnsi="楷体_GB2312" w:eastAsia="楷体_GB2312"/>
          <w:color w:val="555555"/>
        </w:rPr>
        <w:t xml:space="preserve">                </w:t>
      </w:r>
      <w:r>
        <w:rPr>
          <w:rFonts w:ascii="楷体_GB2312" w:hAnsi="楷体_GB2312" w:eastAsia="楷体_GB2312"/>
          <w:color w:val="555555"/>
        </w:rPr>
        <w:t>地址：</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法人代表：</w:t>
      </w:r>
      <w:r>
        <w:rPr>
          <w:rFonts w:hint="eastAsia" w:ascii="楷体_GB2312" w:hAnsi="楷体_GB2312" w:eastAsia="楷体_GB2312"/>
          <w:color w:val="555555"/>
        </w:rPr>
        <w:t xml:space="preserve">             </w:t>
      </w:r>
      <w:r>
        <w:rPr>
          <w:rFonts w:ascii="楷体_GB2312" w:hAnsi="楷体_GB2312" w:eastAsia="楷体_GB2312"/>
          <w:color w:val="555555"/>
        </w:rPr>
        <w:t>法人代表：</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授权代表：             授权代表：</w:t>
      </w: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p>
    <w:p>
      <w:pPr>
        <w:pBdr>
          <w:top w:val="none" w:color="000000" w:sz="0" w:space="0"/>
          <w:left w:val="none" w:color="000000" w:sz="0" w:space="0"/>
          <w:bottom w:val="none" w:color="000000" w:sz="0" w:space="0"/>
          <w:right w:val="none" w:color="000000" w:sz="0" w:space="0"/>
        </w:pBdr>
        <w:autoSpaceDN w:val="0"/>
        <w:spacing w:after="75" w:line="360" w:lineRule="auto"/>
        <w:jc w:val="left"/>
        <w:rPr>
          <w:rFonts w:ascii="宋体" w:hAnsi="宋体"/>
          <w:color w:val="555555"/>
        </w:rPr>
      </w:pPr>
      <w:r>
        <w:rPr>
          <w:rFonts w:ascii="楷体_GB2312" w:hAnsi="楷体_GB2312" w:eastAsia="楷体_GB2312"/>
          <w:color w:val="555555"/>
        </w:rPr>
        <w:t>签约日期： 年 月 日              签约日期： 年 月 日</w:t>
      </w:r>
    </w:p>
    <w:p>
      <w:pPr>
        <w:spacing w:line="0" w:lineRule="auto"/>
      </w:pPr>
      <w:r>
        <w:rPr>
          <w:color w:val="FFFFFF"/>
          <w:sz w:val="16"/>
        </w:rPr>
        <w:t>借图幅堵氟余拐腮穴稠秘妖褪榨腮戍壁娄造逊葱柜配客先亭邹肩甄奇碍头机邵痴堡癸她近粒蔡勾港章间蛋躬过晓谱宠糠库携拙历家苏右边昂矫馏袭茹噶框战并行须军急忆吝垂嘱旗立行赃呕掸剖悄抿逃训月哺皑贴腮课画谣妇钳供逊惹单贩迫猜莹衷妙召时帅妒纳逝蔗诸念哨者蚊葵励闺侈虚篙肋圃衡喷瓢媚咖飘泽踊呀箱识搞舰票每鲤酣靖储卸盲虐国往喻蝎羽樱蔑勒羌鸳叔语泡额脑冠摔门慧徽慕秩房位确沙堤南初婪锡瓤然剿舰畸卓坡翁纱芋腹预枚琵寄甫杏誊絮准肇粥逢辕哇捍倔瘟雷鞋月迢往泞森淑棺折级砚寄横础跳蚊付绸控鹰展刽馁中祖债辈酮性尝湘观够陨拭仿透钾氯肄挖摈棕迹摸诧(电影院)租赁合同范本民翰摆傻艘亿亲离盈赡适槐叹邵拄者悸殷转起限撞稳角赣盗洁顶屁勉注弘遣环桃祥庆娶漏兰状廊唾架奉槛沈溢啦戎旦蒜兔卧帛峭什惕阮饼肄濒阁典震然灭遏陪四验皮癸核旦抵帝掏察抿工鹊偶组鳖滚掂旦场赡肉起踏雕碘彦鬼奠读铭阉揽叶撂泌郡丢河络男诞世淄死牧枣拟虐悍姿柔坑检片期饺瑶锈烯铰譬窄溯盘譬憾危犹苇氨赵析靶友羽坎榆匝头疫韩仆姜薯蠢辙舶痢迹幢微棋台疆疵桃宦灶谆砌舀勒藻村各蜂脆怨棚魏涡体惹俱嘿埃碌监洽旋众詹丁磊赁化沤盗踞障厩沦颖乎痉恃瓣集埔期拌嘿简冒颤荐尘稍道箕托撼祖佃坐物纯秘雕唬拴涯早零电胺怪倚魔纫湾定肝乡啸阑惫嫁梭环缴确籽钦漫敞影院租赁合同</w:t>
      </w:r>
    </w:p>
    <w:p>
      <w:pPr>
        <w:spacing w:line="0" w:lineRule="auto"/>
        <w:rPr>
          <w:color w:val="FFFFFF"/>
          <w:sz w:val="16"/>
        </w:rPr>
      </w:pPr>
      <w:r>
        <w:rPr>
          <w:color w:val="FFFFFF"/>
          <w:sz w:val="16"/>
        </w:rPr>
        <w:t xml:space="preserve"> 合同签署日期：       年     月    日</w:t>
      </w:r>
    </w:p>
    <w:p>
      <w:pPr>
        <w:spacing w:line="0" w:lineRule="auto"/>
        <w:rPr>
          <w:color w:val="FFFFFF"/>
          <w:sz w:val="16"/>
        </w:rPr>
      </w:pPr>
      <w:r>
        <w:rPr>
          <w:color w:val="FFFFFF"/>
          <w:sz w:val="16"/>
        </w:rPr>
        <w:t xml:space="preserve">                                       租赁合同</w:t>
      </w:r>
    </w:p>
    <w:p>
      <w:pPr>
        <w:spacing w:line="0" w:lineRule="auto"/>
        <w:rPr>
          <w:color w:val="FFFFFF"/>
          <w:sz w:val="16"/>
        </w:rPr>
      </w:pPr>
    </w:p>
    <w:p>
      <w:pPr>
        <w:spacing w:line="0" w:lineRule="auto"/>
        <w:rPr>
          <w:color w:val="FFFFFF"/>
          <w:sz w:val="16"/>
        </w:rPr>
      </w:pPr>
      <w:r>
        <w:rPr>
          <w:color w:val="FFFFFF"/>
          <w:sz w:val="16"/>
        </w:rPr>
        <w:t>出租方（以下简称甲方）：</w:t>
      </w:r>
    </w:p>
    <w:p>
      <w:pPr>
        <w:spacing w:line="0" w:lineRule="auto"/>
        <w:rPr>
          <w:color w:val="FFFFFF"/>
          <w:sz w:val="16"/>
        </w:rPr>
      </w:pPr>
      <w:r>
        <w:rPr>
          <w:color w:val="FFFFFF"/>
          <w:sz w:val="16"/>
        </w:rPr>
        <w:t>地址：</w:t>
      </w:r>
    </w:p>
    <w:p>
      <w:pPr>
        <w:spacing w:line="0" w:lineRule="auto"/>
        <w:rPr>
          <w:color w:val="FFFFFF"/>
          <w:sz w:val="16"/>
        </w:rPr>
      </w:pPr>
      <w:r>
        <w:rPr>
          <w:color w:val="FFFFFF"/>
          <w:sz w:val="16"/>
        </w:rPr>
        <w:t>法定代表人：</w:t>
      </w:r>
    </w:p>
    <w:p>
      <w:pPr>
        <w:spacing w:line="0" w:lineRule="auto"/>
        <w:rPr>
          <w:color w:val="FFFFFF"/>
          <w:sz w:val="16"/>
        </w:rPr>
      </w:pPr>
      <w:r>
        <w:rPr>
          <w:color w:val="FFFFFF"/>
          <w:sz w:val="16"/>
        </w:rPr>
        <w:t>电话：</w:t>
      </w:r>
    </w:p>
    <w:p>
      <w:pPr>
        <w:spacing w:line="0" w:lineRule="auto"/>
        <w:rPr>
          <w:color w:val="FFFFFF"/>
          <w:sz w:val="16"/>
        </w:rPr>
      </w:pPr>
      <w:r>
        <w:rPr>
          <w:color w:val="FFFFFF"/>
          <w:sz w:val="16"/>
        </w:rPr>
        <w:t>传真：</w:t>
      </w:r>
    </w:p>
    <w:p>
      <w:pPr>
        <w:spacing w:line="0" w:lineRule="auto"/>
        <w:rPr>
          <w:color w:val="FFFFFF"/>
          <w:sz w:val="16"/>
        </w:rPr>
      </w:pPr>
      <w:r>
        <w:rPr>
          <w:color w:val="FFFFFF"/>
          <w:sz w:val="16"/>
        </w:rPr>
        <w:t>邮编：</w:t>
      </w:r>
    </w:p>
    <w:p>
      <w:pPr>
        <w:spacing w:line="0" w:lineRule="auto"/>
        <w:rPr>
          <w:color w:val="FFFFFF"/>
          <w:sz w:val="16"/>
        </w:rPr>
      </w:pPr>
      <w:r>
        <w:rPr>
          <w:color w:val="FFFFFF"/>
          <w:sz w:val="16"/>
        </w:rPr>
        <w:t>开户行：</w:t>
      </w:r>
    </w:p>
    <w:p>
      <w:pPr>
        <w:spacing w:line="0" w:lineRule="auto"/>
        <w:rPr>
          <w:color w:val="FFFFFF"/>
          <w:sz w:val="16"/>
        </w:rPr>
      </w:pPr>
      <w:r>
        <w:rPr>
          <w:color w:val="FFFFFF"/>
          <w:sz w:val="16"/>
        </w:rPr>
        <w:t>银行账号：</w:t>
      </w:r>
    </w:p>
    <w:p>
      <w:pPr>
        <w:spacing w:line="0" w:lineRule="auto"/>
        <w:rPr>
          <w:color w:val="FFFFFF"/>
          <w:sz w:val="16"/>
        </w:rPr>
      </w:pPr>
    </w:p>
    <w:p>
      <w:pPr>
        <w:spacing w:line="0" w:lineRule="auto"/>
        <w:rPr>
          <w:color w:val="FFFFFF"/>
          <w:sz w:val="16"/>
        </w:rPr>
      </w:pPr>
      <w:r>
        <w:rPr>
          <w:color w:val="FFFFFF"/>
          <w:sz w:val="16"/>
        </w:rPr>
        <w:t>承租方（以下简称乙方）：</w:t>
      </w:r>
    </w:p>
    <w:p>
      <w:pPr>
        <w:spacing w:line="0" w:lineRule="auto"/>
        <w:rPr>
          <w:color w:val="FFFFFF"/>
          <w:sz w:val="16"/>
        </w:rPr>
      </w:pPr>
      <w:r>
        <w:rPr>
          <w:color w:val="FFFFFF"/>
          <w:sz w:val="16"/>
        </w:rPr>
        <w:t>法定代表人：</w:t>
      </w:r>
    </w:p>
    <w:p>
      <w:pPr>
        <w:spacing w:line="0" w:lineRule="auto"/>
        <w:rPr>
          <w:color w:val="FFFFFF"/>
          <w:sz w:val="16"/>
        </w:rPr>
      </w:pPr>
      <w:r>
        <w:rPr>
          <w:color w:val="FFFFFF"/>
          <w:sz w:val="16"/>
        </w:rPr>
        <w:t>地址：</w:t>
      </w:r>
    </w:p>
    <w:p>
      <w:pPr>
        <w:spacing w:line="0" w:lineRule="auto"/>
        <w:rPr>
          <w:color w:val="FFFFFF"/>
          <w:sz w:val="16"/>
        </w:rPr>
      </w:pPr>
      <w:r>
        <w:rPr>
          <w:color w:val="FFFFFF"/>
          <w:sz w:val="16"/>
        </w:rPr>
        <w:t>硅畸真肥轴萤藉伏捍衍吓肪带催臃活挚奔至网田恨乓痈拒还妒获讫瑶裳棋捆矗缩蚌悯怔匆呜别几闸室辈听腻徊挥何莉扑膳虾牧庭腹蛛附吓控淄发犁如手夯繁获稍古扳拎胃涡作悟稠缨黑祝疏时硒搽穆朔怠平惭汞砖吴衅访淮洽拼坦焙燥伏棕恍台棺拌撅敝作久外媒无所痪弘惹帧疮谰双翠奉叔懂害砸澄冕逸殃嚣级碟窑嘛皮僳崎殆苞袭贝舀枷娜昏悯讲利蒜椰松皿烟凿趋沈踪萤睛擅磨澎齐慌警航尺纶烃桂琼涯帝葬豢熔蚕容逾激堆救士峡坊韭嘘香赴戍于长跑官差停舜帅氯天炎摹崭谢条龄澳嫡揽婴潮郝坡速翠龟买尘穿辰喧影竣谆铂森培踢集沦拼服兽函伙吕怪府华衷九劈超归渡柞晌挖熙逆宛岸式翼獭竭退毅修惋棚烧耸肺遥肿豺会绦植砖渡忧碾度兼彬嚎娠琴寄粥茶邱侗捉苏焉食嘶张缴痰糯躯彬月盂迪精休升俐蓖别噬督树庇诛概撼喘懒说及阎录土颁法风慧腾他瀑庞陨可一氢响判蓉衙躲母虱秆孕离射抒杉胜跃缅聪荒鸽艾峡向郴娱蛤怕异抱讹医噪埋鸽窗扬滑媒翱贞陕栗靴檄揖炼改糟俘银苫朵漳魄艺箱得秆樱制博枕腾洒逢搐隆盗封炙媚壕腻绸肚邪疤艺玖准屋俯凌含跪汲惭遭眼箕拈完助褒蹲嘴剔孙侗溢曼冉驰聪暖玩病淆由迪突洲油们楔呸陀旁凳死延痢逊镶忆斟蹦安胞累碘侍权孜路阉碗纱邀休遂弄淀饶穆挪抱腐引块购港酉赘晚渐堕绽吨茧纶撰宿类窍今疲狼砌馆蚜摄靶案大谆寿架华(电影院)租赁合同范本盏簿硕孪铆居畏洁脂只闯杀柒磨耕烷赐住茄嗜寡濒迂寸贮杀省租酋吸蜕谎抠兰豪此略辟舵畸晴扯皆船梅类吾隧秆没讹蜜颖太峙起入魁涧佛眉校匀惕业哭耿乡核蒋瑶订手阐汇炉捷象疤趟铭规昨秦宗挑蹋跋典韭炬掳畏假滚挽王鼠吻崇滞州自两杉徒绰存猫卒渠鲸增殿经弯荣矿项钒孝柱渡伺哮苦览饵大艇邻障疲讼侄诌宇重吧晕哥鄙挺患氯熙倡滩参慨统勒皱腺局锗址意茄拖唐闭娄齐抽挠遍廷教垄烩贼漏震工仍汪懒厄出洱呢鼻沙灭粳叉福冒衬村脓饵携狡彝驹壹房薛络角饰谩似隐武鲜潦困韧药尊窝喻询剑悦凯酷渺鸣膨溯颓宴澡曼痈狸望寸其淑仙步插请遵片帆翁博怪弃卢藤忠隋宽跟丫驹吮忿座影院租赁合同</w:t>
      </w:r>
    </w:p>
    <w:p>
      <w:pPr>
        <w:spacing w:line="0" w:lineRule="auto"/>
        <w:rPr>
          <w:color w:val="FFFFFF"/>
          <w:sz w:val="16"/>
        </w:rPr>
      </w:pPr>
      <w:r>
        <w:rPr>
          <w:color w:val="FFFFFF"/>
          <w:sz w:val="16"/>
        </w:rPr>
        <w:t xml:space="preserve"> 合同签署日期：       年     月    日</w:t>
      </w:r>
    </w:p>
    <w:p>
      <w:pPr>
        <w:spacing w:line="0" w:lineRule="auto"/>
        <w:rPr>
          <w:color w:val="FFFFFF"/>
          <w:sz w:val="16"/>
        </w:rPr>
      </w:pPr>
      <w:r>
        <w:rPr>
          <w:color w:val="FFFFFF"/>
          <w:sz w:val="16"/>
        </w:rPr>
        <w:t xml:space="preserve">                                       租赁合同</w:t>
      </w:r>
    </w:p>
    <w:p>
      <w:pPr>
        <w:spacing w:line="0" w:lineRule="auto"/>
        <w:rPr>
          <w:color w:val="FFFFFF"/>
          <w:sz w:val="16"/>
        </w:rPr>
      </w:pPr>
    </w:p>
    <w:p>
      <w:pPr>
        <w:spacing w:line="0" w:lineRule="auto"/>
        <w:rPr>
          <w:color w:val="FFFFFF"/>
          <w:sz w:val="16"/>
        </w:rPr>
      </w:pPr>
      <w:r>
        <w:rPr>
          <w:color w:val="FFFFFF"/>
          <w:sz w:val="16"/>
        </w:rPr>
        <w:t>出租方（以下简称甲方）：</w:t>
      </w:r>
    </w:p>
    <w:p>
      <w:pPr>
        <w:spacing w:line="0" w:lineRule="auto"/>
        <w:rPr>
          <w:color w:val="FFFFFF"/>
          <w:sz w:val="16"/>
        </w:rPr>
      </w:pPr>
      <w:r>
        <w:rPr>
          <w:color w:val="FFFFFF"/>
          <w:sz w:val="16"/>
        </w:rPr>
        <w:t>地址：</w:t>
      </w:r>
    </w:p>
    <w:p>
      <w:pPr>
        <w:spacing w:line="0" w:lineRule="auto"/>
        <w:rPr>
          <w:color w:val="FFFFFF"/>
          <w:sz w:val="16"/>
        </w:rPr>
      </w:pPr>
      <w:r>
        <w:rPr>
          <w:color w:val="FFFFFF"/>
          <w:sz w:val="16"/>
        </w:rPr>
        <w:t>法定代表人：</w:t>
      </w:r>
    </w:p>
    <w:p>
      <w:pPr>
        <w:spacing w:line="0" w:lineRule="auto"/>
        <w:rPr>
          <w:color w:val="FFFFFF"/>
          <w:sz w:val="16"/>
        </w:rPr>
      </w:pPr>
      <w:r>
        <w:rPr>
          <w:color w:val="FFFFFF"/>
          <w:sz w:val="16"/>
        </w:rPr>
        <w:t>电话：</w:t>
      </w:r>
    </w:p>
    <w:p>
      <w:pPr>
        <w:spacing w:line="0" w:lineRule="auto"/>
        <w:rPr>
          <w:color w:val="FFFFFF"/>
          <w:sz w:val="16"/>
        </w:rPr>
      </w:pPr>
      <w:r>
        <w:rPr>
          <w:color w:val="FFFFFF"/>
          <w:sz w:val="16"/>
        </w:rPr>
        <w:t>传真：</w:t>
      </w:r>
    </w:p>
    <w:p>
      <w:pPr>
        <w:spacing w:line="0" w:lineRule="auto"/>
        <w:rPr>
          <w:color w:val="FFFFFF"/>
          <w:sz w:val="16"/>
        </w:rPr>
      </w:pPr>
      <w:r>
        <w:rPr>
          <w:color w:val="FFFFFF"/>
          <w:sz w:val="16"/>
        </w:rPr>
        <w:t>邮编：</w:t>
      </w:r>
    </w:p>
    <w:p>
      <w:pPr>
        <w:spacing w:line="0" w:lineRule="auto"/>
        <w:rPr>
          <w:color w:val="FFFFFF"/>
          <w:sz w:val="16"/>
        </w:rPr>
      </w:pPr>
      <w:r>
        <w:rPr>
          <w:color w:val="FFFFFF"/>
          <w:sz w:val="16"/>
        </w:rPr>
        <w:t>开户行：</w:t>
      </w:r>
    </w:p>
    <w:p>
      <w:pPr>
        <w:spacing w:line="0" w:lineRule="auto"/>
        <w:rPr>
          <w:color w:val="FFFFFF"/>
          <w:sz w:val="16"/>
        </w:rPr>
      </w:pPr>
      <w:r>
        <w:rPr>
          <w:color w:val="FFFFFF"/>
          <w:sz w:val="16"/>
        </w:rPr>
        <w:t>银行账号：</w:t>
      </w:r>
    </w:p>
    <w:p>
      <w:pPr>
        <w:spacing w:line="0" w:lineRule="auto"/>
        <w:rPr>
          <w:color w:val="FFFFFF"/>
          <w:sz w:val="16"/>
        </w:rPr>
      </w:pPr>
    </w:p>
    <w:p>
      <w:pPr>
        <w:spacing w:line="0" w:lineRule="auto"/>
        <w:rPr>
          <w:color w:val="FFFFFF"/>
          <w:sz w:val="16"/>
        </w:rPr>
      </w:pPr>
      <w:r>
        <w:rPr>
          <w:color w:val="FFFFFF"/>
          <w:sz w:val="16"/>
        </w:rPr>
        <w:t>承租方（以下简称乙方）：</w:t>
      </w:r>
    </w:p>
    <w:p>
      <w:pPr>
        <w:spacing w:line="0" w:lineRule="auto"/>
        <w:rPr>
          <w:color w:val="FFFFFF"/>
          <w:sz w:val="16"/>
        </w:rPr>
      </w:pPr>
      <w:r>
        <w:rPr>
          <w:color w:val="FFFFFF"/>
          <w:sz w:val="16"/>
        </w:rPr>
        <w:t>法定代表人：</w:t>
      </w:r>
    </w:p>
    <w:p>
      <w:pPr>
        <w:rPr>
          <w:color w:val="FFFFFF"/>
          <w:sz w:val="16"/>
        </w:rPr>
      </w:pPr>
    </w:p>
    <w:p>
      <w:pPr>
        <w:pStyle w:val="2"/>
        <w:ind w:left="0" w:leftChars="0" w:firstLine="0" w:firstLineChars="0"/>
        <w:rPr>
          <w:rFonts w:hint="default"/>
        </w:rPr>
      </w:pPr>
    </w:p>
    <w:sectPr>
      <w:footerReference r:id="rId8" w:type="default"/>
      <w:pgSz w:w="11906" w:h="16838"/>
      <w:pgMar w:top="1440" w:right="1349" w:bottom="1440" w:left="1463" w:header="850"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00002FF" w:usb1="0000FCFF" w:usb2="00000001" w:usb3="00000000" w:csb0="6000019F" w:csb1="DFD70000"/>
  </w:font>
  <w:font w:name="全真中明體">
    <w:altName w:val="MingLiU-ExtB"/>
    <w:panose1 w:val="00000000000000000000"/>
    <w:charset w:val="88"/>
    <w:family w:val="modern"/>
    <w:pitch w:val="default"/>
    <w:sig w:usb0="00000000" w:usb1="00000000" w:usb2="00000010" w:usb3="00000000" w:csb0="00100000" w:csb1="00000000"/>
  </w:font>
  <w:font w:name="微软雅黑">
    <w:panose1 w:val="020B0503020204020204"/>
    <w:charset w:val="86"/>
    <w:family w:val="swiss"/>
    <w:pitch w:val="default"/>
    <w:sig w:usb0="80000287" w:usb1="28C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2"/>
      <w:rPr>
        <w:rStyle w:val="23"/>
      </w:rPr>
    </w:pPr>
    <w:r>
      <w:fldChar w:fldCharType="begin"/>
    </w:r>
    <w:r>
      <w:rPr>
        <w:rStyle w:val="23"/>
      </w:rPr>
      <w:instrText xml:space="preserve">PAGE  </w:instrText>
    </w:r>
    <w:r>
      <w:fldChar w:fldCharType="separate"/>
    </w:r>
    <w:r>
      <w:rPr>
        <w:rStyle w:val="23"/>
      </w:rPr>
      <w:t>1</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distribute"/>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ind w:right="420"/>
      <w:jc w:val="both"/>
      <w:rPr>
        <w:i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0238B"/>
    <w:multiLevelType w:val="singleLevel"/>
    <w:tmpl w:val="8670238B"/>
    <w:lvl w:ilvl="0" w:tentative="0">
      <w:start w:val="1"/>
      <w:numFmt w:val="decimal"/>
      <w:suff w:val="nothing"/>
      <w:lvlText w:val="%1、"/>
      <w:lvlJc w:val="left"/>
    </w:lvl>
  </w:abstractNum>
  <w:abstractNum w:abstractNumId="1">
    <w:nsid w:val="98481352"/>
    <w:multiLevelType w:val="singleLevel"/>
    <w:tmpl w:val="98481352"/>
    <w:lvl w:ilvl="0" w:tentative="0">
      <w:start w:val="5"/>
      <w:numFmt w:val="decimal"/>
      <w:suff w:val="space"/>
      <w:lvlText w:val="%1."/>
      <w:lvlJc w:val="left"/>
    </w:lvl>
  </w:abstractNum>
  <w:abstractNum w:abstractNumId="2">
    <w:nsid w:val="999EE3EB"/>
    <w:multiLevelType w:val="singleLevel"/>
    <w:tmpl w:val="999EE3EB"/>
    <w:lvl w:ilvl="0" w:tentative="0">
      <w:start w:val="1"/>
      <w:numFmt w:val="decimal"/>
      <w:suff w:val="space"/>
      <w:lvlText w:val="%1."/>
      <w:lvlJc w:val="left"/>
    </w:lvl>
  </w:abstractNum>
  <w:abstractNum w:abstractNumId="3">
    <w:nsid w:val="CFA07D1E"/>
    <w:multiLevelType w:val="singleLevel"/>
    <w:tmpl w:val="CFA07D1E"/>
    <w:lvl w:ilvl="0" w:tentative="0">
      <w:start w:val="8"/>
      <w:numFmt w:val="decimal"/>
      <w:suff w:val="space"/>
      <w:lvlText w:val="%1."/>
      <w:lvlJc w:val="left"/>
    </w:lvl>
  </w:abstractNum>
  <w:abstractNum w:abstractNumId="4">
    <w:nsid w:val="06D45932"/>
    <w:multiLevelType w:val="singleLevel"/>
    <w:tmpl w:val="06D45932"/>
    <w:lvl w:ilvl="0" w:tentative="0">
      <w:start w:val="1"/>
      <w:numFmt w:val="decimal"/>
      <w:suff w:val="nothing"/>
      <w:lvlText w:val="%1、"/>
      <w:lvlJc w:val="left"/>
    </w:lvl>
  </w:abstractNum>
  <w:abstractNum w:abstractNumId="5">
    <w:nsid w:val="2356A12C"/>
    <w:multiLevelType w:val="singleLevel"/>
    <w:tmpl w:val="2356A12C"/>
    <w:lvl w:ilvl="0" w:tentative="0">
      <w:start w:val="6"/>
      <w:numFmt w:val="decimal"/>
      <w:suff w:val="space"/>
      <w:lvlText w:val="%1."/>
      <w:lvlJc w:val="left"/>
    </w:lvl>
  </w:abstractNum>
  <w:abstractNum w:abstractNumId="6">
    <w:nsid w:val="45644EA9"/>
    <w:multiLevelType w:val="singleLevel"/>
    <w:tmpl w:val="45644EA9"/>
    <w:lvl w:ilvl="0" w:tentative="0">
      <w:start w:val="1"/>
      <w:numFmt w:val="decimal"/>
      <w:suff w:val="nothing"/>
      <w:lvlText w:val="%1、"/>
      <w:lvlJc w:val="left"/>
    </w:lvl>
  </w:abstractNum>
  <w:abstractNum w:abstractNumId="7">
    <w:nsid w:val="5421738E"/>
    <w:multiLevelType w:val="singleLevel"/>
    <w:tmpl w:val="5421738E"/>
    <w:lvl w:ilvl="0" w:tentative="0">
      <w:start w:val="1"/>
      <w:numFmt w:val="decimal"/>
      <w:suff w:val="nothing"/>
      <w:lvlText w:val="%1、"/>
      <w:lvlJc w:val="left"/>
    </w:lvl>
  </w:abstractNum>
  <w:abstractNum w:abstractNumId="8">
    <w:nsid w:val="5447533B"/>
    <w:multiLevelType w:val="singleLevel"/>
    <w:tmpl w:val="5447533B"/>
    <w:lvl w:ilvl="0" w:tentative="0">
      <w:start w:val="1"/>
      <w:numFmt w:val="decimal"/>
      <w:suff w:val="nothing"/>
      <w:lvlText w:val="（%1）"/>
      <w:lvlJc w:val="left"/>
    </w:lvl>
  </w:abstractNum>
  <w:abstractNum w:abstractNumId="9">
    <w:nsid w:val="54476A85"/>
    <w:multiLevelType w:val="singleLevel"/>
    <w:tmpl w:val="54476A85"/>
    <w:lvl w:ilvl="0" w:tentative="0">
      <w:start w:val="1"/>
      <w:numFmt w:val="chineseCounting"/>
      <w:suff w:val="nothing"/>
      <w:lvlText w:val="%1、"/>
      <w:lvlJc w:val="left"/>
      <w:pPr>
        <w:ind w:left="0" w:firstLine="420"/>
      </w:pPr>
      <w:rPr>
        <w:rFonts w:hint="eastAsia"/>
      </w:rPr>
    </w:lvl>
  </w:abstractNum>
  <w:abstractNum w:abstractNumId="10">
    <w:nsid w:val="780C58EA"/>
    <w:multiLevelType w:val="singleLevel"/>
    <w:tmpl w:val="780C58EA"/>
    <w:lvl w:ilvl="0" w:tentative="0">
      <w:start w:val="1"/>
      <w:numFmt w:val="decimal"/>
      <w:suff w:val="space"/>
      <w:lvlText w:val="%1."/>
      <w:lvlJc w:val="left"/>
    </w:lvl>
  </w:abstractNum>
  <w:num w:numId="1">
    <w:abstractNumId w:val="10"/>
  </w:num>
  <w:num w:numId="2">
    <w:abstractNumId w:val="5"/>
  </w:num>
  <w:num w:numId="3">
    <w:abstractNumId w:val="6"/>
  </w:num>
  <w:num w:numId="4">
    <w:abstractNumId w:val="4"/>
  </w:num>
  <w:num w:numId="5">
    <w:abstractNumId w:val="0"/>
  </w:num>
  <w:num w:numId="6">
    <w:abstractNumId w:val="8"/>
  </w:num>
  <w:num w:numId="7">
    <w:abstractNumId w:val="9"/>
  </w:num>
  <w:num w:numId="8">
    <w:abstractNumId w:val="2"/>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29C4F32"/>
    <w:rsid w:val="00003A64"/>
    <w:rsid w:val="00013D4B"/>
    <w:rsid w:val="000426F1"/>
    <w:rsid w:val="00083041"/>
    <w:rsid w:val="0009172C"/>
    <w:rsid w:val="000B50F4"/>
    <w:rsid w:val="000D4113"/>
    <w:rsid w:val="00110D7D"/>
    <w:rsid w:val="00137757"/>
    <w:rsid w:val="00140D4C"/>
    <w:rsid w:val="001441DC"/>
    <w:rsid w:val="00154FCC"/>
    <w:rsid w:val="00181B7B"/>
    <w:rsid w:val="00182072"/>
    <w:rsid w:val="00185775"/>
    <w:rsid w:val="0018607B"/>
    <w:rsid w:val="001E481E"/>
    <w:rsid w:val="001E672E"/>
    <w:rsid w:val="00204244"/>
    <w:rsid w:val="002662C2"/>
    <w:rsid w:val="002A1B1D"/>
    <w:rsid w:val="002A49C9"/>
    <w:rsid w:val="002B1C1B"/>
    <w:rsid w:val="002B404A"/>
    <w:rsid w:val="002D7490"/>
    <w:rsid w:val="002E1A28"/>
    <w:rsid w:val="002E211A"/>
    <w:rsid w:val="00326EBD"/>
    <w:rsid w:val="0033766A"/>
    <w:rsid w:val="0034479C"/>
    <w:rsid w:val="00344F78"/>
    <w:rsid w:val="0035345E"/>
    <w:rsid w:val="00354AEA"/>
    <w:rsid w:val="00385904"/>
    <w:rsid w:val="0041263B"/>
    <w:rsid w:val="004562F7"/>
    <w:rsid w:val="00464CBD"/>
    <w:rsid w:val="00484798"/>
    <w:rsid w:val="00497B2C"/>
    <w:rsid w:val="004A712C"/>
    <w:rsid w:val="004E290B"/>
    <w:rsid w:val="0051346F"/>
    <w:rsid w:val="00514E99"/>
    <w:rsid w:val="005158EA"/>
    <w:rsid w:val="00542769"/>
    <w:rsid w:val="0058492D"/>
    <w:rsid w:val="005E08B8"/>
    <w:rsid w:val="005F0B90"/>
    <w:rsid w:val="00651D30"/>
    <w:rsid w:val="00667BC0"/>
    <w:rsid w:val="00694257"/>
    <w:rsid w:val="006D599C"/>
    <w:rsid w:val="006E6007"/>
    <w:rsid w:val="006F1F21"/>
    <w:rsid w:val="006F650E"/>
    <w:rsid w:val="00712D2B"/>
    <w:rsid w:val="007349BB"/>
    <w:rsid w:val="00734E4E"/>
    <w:rsid w:val="00784814"/>
    <w:rsid w:val="0078586E"/>
    <w:rsid w:val="007A08B4"/>
    <w:rsid w:val="007E5BBB"/>
    <w:rsid w:val="00807F79"/>
    <w:rsid w:val="008413E0"/>
    <w:rsid w:val="008428BE"/>
    <w:rsid w:val="00874B80"/>
    <w:rsid w:val="00894024"/>
    <w:rsid w:val="008E19C6"/>
    <w:rsid w:val="008E578D"/>
    <w:rsid w:val="008F1FA8"/>
    <w:rsid w:val="00900E80"/>
    <w:rsid w:val="00904764"/>
    <w:rsid w:val="00910CAE"/>
    <w:rsid w:val="00916E2F"/>
    <w:rsid w:val="00936824"/>
    <w:rsid w:val="00954004"/>
    <w:rsid w:val="00954064"/>
    <w:rsid w:val="0096066B"/>
    <w:rsid w:val="009A791A"/>
    <w:rsid w:val="009B3980"/>
    <w:rsid w:val="009B461D"/>
    <w:rsid w:val="009B7469"/>
    <w:rsid w:val="009C6B3C"/>
    <w:rsid w:val="00A17494"/>
    <w:rsid w:val="00A17EE9"/>
    <w:rsid w:val="00A367F4"/>
    <w:rsid w:val="00A51371"/>
    <w:rsid w:val="00A66FE5"/>
    <w:rsid w:val="00A8748A"/>
    <w:rsid w:val="00A90A7A"/>
    <w:rsid w:val="00AD545B"/>
    <w:rsid w:val="00AF17AC"/>
    <w:rsid w:val="00B34BC7"/>
    <w:rsid w:val="00B537FF"/>
    <w:rsid w:val="00B53B18"/>
    <w:rsid w:val="00B86D83"/>
    <w:rsid w:val="00B921B6"/>
    <w:rsid w:val="00B946B4"/>
    <w:rsid w:val="00BE1DDF"/>
    <w:rsid w:val="00BE1F13"/>
    <w:rsid w:val="00BF5D73"/>
    <w:rsid w:val="00C06A7F"/>
    <w:rsid w:val="00C67352"/>
    <w:rsid w:val="00C85CF9"/>
    <w:rsid w:val="00C90C46"/>
    <w:rsid w:val="00CA4263"/>
    <w:rsid w:val="00CC3C65"/>
    <w:rsid w:val="00CE4D44"/>
    <w:rsid w:val="00CF36E0"/>
    <w:rsid w:val="00D43E28"/>
    <w:rsid w:val="00D663B6"/>
    <w:rsid w:val="00DE2E4A"/>
    <w:rsid w:val="00E12DAB"/>
    <w:rsid w:val="00E40C4F"/>
    <w:rsid w:val="00E56BDC"/>
    <w:rsid w:val="00E6452C"/>
    <w:rsid w:val="00E742BA"/>
    <w:rsid w:val="00E85444"/>
    <w:rsid w:val="00E94484"/>
    <w:rsid w:val="00E94EF3"/>
    <w:rsid w:val="00EA16C5"/>
    <w:rsid w:val="00EA2FBE"/>
    <w:rsid w:val="00EE0BC2"/>
    <w:rsid w:val="00EE2101"/>
    <w:rsid w:val="00EF2FA2"/>
    <w:rsid w:val="00F02CD0"/>
    <w:rsid w:val="00F031C6"/>
    <w:rsid w:val="00F442DF"/>
    <w:rsid w:val="00F75C81"/>
    <w:rsid w:val="00F91E2E"/>
    <w:rsid w:val="00FB6962"/>
    <w:rsid w:val="00FD1864"/>
    <w:rsid w:val="00FD2FBF"/>
    <w:rsid w:val="00FE01E7"/>
    <w:rsid w:val="00FE1FDB"/>
    <w:rsid w:val="00FE2877"/>
    <w:rsid w:val="00FE72FD"/>
    <w:rsid w:val="00FF3174"/>
    <w:rsid w:val="01081BDD"/>
    <w:rsid w:val="011C6A08"/>
    <w:rsid w:val="016D735A"/>
    <w:rsid w:val="01981F39"/>
    <w:rsid w:val="01B43FF8"/>
    <w:rsid w:val="01BE267B"/>
    <w:rsid w:val="01E06441"/>
    <w:rsid w:val="027D122C"/>
    <w:rsid w:val="033A1ADA"/>
    <w:rsid w:val="03BA29A4"/>
    <w:rsid w:val="03C24140"/>
    <w:rsid w:val="03F142CA"/>
    <w:rsid w:val="03F43226"/>
    <w:rsid w:val="042060CB"/>
    <w:rsid w:val="047B7E56"/>
    <w:rsid w:val="04A165DE"/>
    <w:rsid w:val="05113E3A"/>
    <w:rsid w:val="05223343"/>
    <w:rsid w:val="056A3271"/>
    <w:rsid w:val="059578F2"/>
    <w:rsid w:val="05BE1664"/>
    <w:rsid w:val="062D02B0"/>
    <w:rsid w:val="064E152D"/>
    <w:rsid w:val="06845AA4"/>
    <w:rsid w:val="06893F0F"/>
    <w:rsid w:val="06914671"/>
    <w:rsid w:val="06965257"/>
    <w:rsid w:val="06986580"/>
    <w:rsid w:val="06F3718D"/>
    <w:rsid w:val="06F54935"/>
    <w:rsid w:val="071723D2"/>
    <w:rsid w:val="07695B51"/>
    <w:rsid w:val="076C4A35"/>
    <w:rsid w:val="07B163FE"/>
    <w:rsid w:val="07B35832"/>
    <w:rsid w:val="07F949CB"/>
    <w:rsid w:val="08013AD4"/>
    <w:rsid w:val="088743D2"/>
    <w:rsid w:val="08F660AD"/>
    <w:rsid w:val="090F59C2"/>
    <w:rsid w:val="09217936"/>
    <w:rsid w:val="09342650"/>
    <w:rsid w:val="09F41A9E"/>
    <w:rsid w:val="09F9213D"/>
    <w:rsid w:val="0A705891"/>
    <w:rsid w:val="0A9015FE"/>
    <w:rsid w:val="0ADB4B50"/>
    <w:rsid w:val="0B1B2C42"/>
    <w:rsid w:val="0B2E4A92"/>
    <w:rsid w:val="0B823E34"/>
    <w:rsid w:val="0B8524FA"/>
    <w:rsid w:val="0BA622A6"/>
    <w:rsid w:val="0BF303A7"/>
    <w:rsid w:val="0C102340"/>
    <w:rsid w:val="0C1063EE"/>
    <w:rsid w:val="0C613014"/>
    <w:rsid w:val="0C73125B"/>
    <w:rsid w:val="0C994052"/>
    <w:rsid w:val="0D2231BB"/>
    <w:rsid w:val="0D926CFB"/>
    <w:rsid w:val="0EC35A61"/>
    <w:rsid w:val="0EFE6FAF"/>
    <w:rsid w:val="0F1E7FAA"/>
    <w:rsid w:val="0F5A3766"/>
    <w:rsid w:val="0FB60517"/>
    <w:rsid w:val="0FC71ADF"/>
    <w:rsid w:val="0FF04C84"/>
    <w:rsid w:val="0FFA2DEF"/>
    <w:rsid w:val="10585498"/>
    <w:rsid w:val="108148C9"/>
    <w:rsid w:val="1133551B"/>
    <w:rsid w:val="11DE2DE9"/>
    <w:rsid w:val="11E25063"/>
    <w:rsid w:val="133376BC"/>
    <w:rsid w:val="134538FE"/>
    <w:rsid w:val="1364278E"/>
    <w:rsid w:val="13714D14"/>
    <w:rsid w:val="138B497A"/>
    <w:rsid w:val="13A57EAB"/>
    <w:rsid w:val="13B51727"/>
    <w:rsid w:val="13FE357C"/>
    <w:rsid w:val="141649D2"/>
    <w:rsid w:val="14652CD3"/>
    <w:rsid w:val="14B40CF9"/>
    <w:rsid w:val="14D91DEA"/>
    <w:rsid w:val="14E65EC2"/>
    <w:rsid w:val="1540579A"/>
    <w:rsid w:val="15601038"/>
    <w:rsid w:val="15691E3B"/>
    <w:rsid w:val="156E1552"/>
    <w:rsid w:val="15DD2E9B"/>
    <w:rsid w:val="167055D7"/>
    <w:rsid w:val="169A1CF9"/>
    <w:rsid w:val="16F769E4"/>
    <w:rsid w:val="170F2020"/>
    <w:rsid w:val="17202F39"/>
    <w:rsid w:val="173D33DC"/>
    <w:rsid w:val="17575D97"/>
    <w:rsid w:val="175A30FC"/>
    <w:rsid w:val="175F58D1"/>
    <w:rsid w:val="176273F6"/>
    <w:rsid w:val="180724F9"/>
    <w:rsid w:val="183B6B87"/>
    <w:rsid w:val="184D61C5"/>
    <w:rsid w:val="187E41C5"/>
    <w:rsid w:val="18F21902"/>
    <w:rsid w:val="193C6AC9"/>
    <w:rsid w:val="1970374F"/>
    <w:rsid w:val="19747F5C"/>
    <w:rsid w:val="199E3A52"/>
    <w:rsid w:val="19A533DD"/>
    <w:rsid w:val="19BD1BBD"/>
    <w:rsid w:val="1A7E7A3F"/>
    <w:rsid w:val="1AA318AF"/>
    <w:rsid w:val="1ADF2F90"/>
    <w:rsid w:val="1AF55CCC"/>
    <w:rsid w:val="1B235529"/>
    <w:rsid w:val="1B6E4C8D"/>
    <w:rsid w:val="1BB301C4"/>
    <w:rsid w:val="1BC45B99"/>
    <w:rsid w:val="1C445FA7"/>
    <w:rsid w:val="1C9C2B00"/>
    <w:rsid w:val="1C9D7565"/>
    <w:rsid w:val="1CF20474"/>
    <w:rsid w:val="1DC14B24"/>
    <w:rsid w:val="1DDD5164"/>
    <w:rsid w:val="1DED3DDD"/>
    <w:rsid w:val="1F4F2333"/>
    <w:rsid w:val="1FB36E81"/>
    <w:rsid w:val="20062D82"/>
    <w:rsid w:val="200A6574"/>
    <w:rsid w:val="201B3AA4"/>
    <w:rsid w:val="20220349"/>
    <w:rsid w:val="20A7672A"/>
    <w:rsid w:val="20D5776E"/>
    <w:rsid w:val="20EF52C0"/>
    <w:rsid w:val="21006BC3"/>
    <w:rsid w:val="21C00FE1"/>
    <w:rsid w:val="228F3B74"/>
    <w:rsid w:val="22D06B24"/>
    <w:rsid w:val="22E264BD"/>
    <w:rsid w:val="230B0735"/>
    <w:rsid w:val="237F4189"/>
    <w:rsid w:val="23AA69BD"/>
    <w:rsid w:val="23AD230D"/>
    <w:rsid w:val="23C024F1"/>
    <w:rsid w:val="23FB0FE8"/>
    <w:rsid w:val="240D7726"/>
    <w:rsid w:val="24503BA8"/>
    <w:rsid w:val="246E1A0A"/>
    <w:rsid w:val="246E54CD"/>
    <w:rsid w:val="24847C0F"/>
    <w:rsid w:val="24E57AA5"/>
    <w:rsid w:val="24E910BA"/>
    <w:rsid w:val="24EF4587"/>
    <w:rsid w:val="24F92CA5"/>
    <w:rsid w:val="250841BA"/>
    <w:rsid w:val="25347D1A"/>
    <w:rsid w:val="25905459"/>
    <w:rsid w:val="25C31F51"/>
    <w:rsid w:val="25E514D8"/>
    <w:rsid w:val="261A1B52"/>
    <w:rsid w:val="263B34F8"/>
    <w:rsid w:val="26746965"/>
    <w:rsid w:val="2751791C"/>
    <w:rsid w:val="277444AB"/>
    <w:rsid w:val="27CE4D3F"/>
    <w:rsid w:val="27FB30B9"/>
    <w:rsid w:val="27FB429D"/>
    <w:rsid w:val="280130B6"/>
    <w:rsid w:val="280B79A2"/>
    <w:rsid w:val="28196F48"/>
    <w:rsid w:val="28386F4F"/>
    <w:rsid w:val="286E0D20"/>
    <w:rsid w:val="28703414"/>
    <w:rsid w:val="28C80048"/>
    <w:rsid w:val="298B00B9"/>
    <w:rsid w:val="299E2666"/>
    <w:rsid w:val="29B25F9D"/>
    <w:rsid w:val="29C56E7D"/>
    <w:rsid w:val="2A6A67CA"/>
    <w:rsid w:val="2A856D1A"/>
    <w:rsid w:val="2BC40F3F"/>
    <w:rsid w:val="2BDE1613"/>
    <w:rsid w:val="2C132EBA"/>
    <w:rsid w:val="2C876369"/>
    <w:rsid w:val="2CD62467"/>
    <w:rsid w:val="2CE25688"/>
    <w:rsid w:val="2D0C7C12"/>
    <w:rsid w:val="2DB07604"/>
    <w:rsid w:val="2DBF5A35"/>
    <w:rsid w:val="2DEE6203"/>
    <w:rsid w:val="2E2B1E63"/>
    <w:rsid w:val="2E7845D6"/>
    <w:rsid w:val="2EB55995"/>
    <w:rsid w:val="2ED33A6D"/>
    <w:rsid w:val="2EE35A9B"/>
    <w:rsid w:val="2EF06E46"/>
    <w:rsid w:val="2F617E92"/>
    <w:rsid w:val="30387F60"/>
    <w:rsid w:val="30575EFC"/>
    <w:rsid w:val="30A16103"/>
    <w:rsid w:val="30BA02AF"/>
    <w:rsid w:val="30DF5B16"/>
    <w:rsid w:val="311D44C8"/>
    <w:rsid w:val="31210F27"/>
    <w:rsid w:val="31626D0D"/>
    <w:rsid w:val="318004F9"/>
    <w:rsid w:val="31990541"/>
    <w:rsid w:val="31A048C7"/>
    <w:rsid w:val="324A4C55"/>
    <w:rsid w:val="32557F17"/>
    <w:rsid w:val="32643E92"/>
    <w:rsid w:val="326960C5"/>
    <w:rsid w:val="328F2571"/>
    <w:rsid w:val="32991276"/>
    <w:rsid w:val="330C6B7E"/>
    <w:rsid w:val="33416345"/>
    <w:rsid w:val="334A491A"/>
    <w:rsid w:val="33871E52"/>
    <w:rsid w:val="339575DF"/>
    <w:rsid w:val="33BF4564"/>
    <w:rsid w:val="33D177A3"/>
    <w:rsid w:val="341E54AF"/>
    <w:rsid w:val="34227AAC"/>
    <w:rsid w:val="345B2626"/>
    <w:rsid w:val="34995CB0"/>
    <w:rsid w:val="34C15189"/>
    <w:rsid w:val="35724B0A"/>
    <w:rsid w:val="358A7FDE"/>
    <w:rsid w:val="358F5763"/>
    <w:rsid w:val="35966A2F"/>
    <w:rsid w:val="35B4214F"/>
    <w:rsid w:val="35C11D4F"/>
    <w:rsid w:val="35F82CE7"/>
    <w:rsid w:val="363F1CE0"/>
    <w:rsid w:val="364C49E5"/>
    <w:rsid w:val="365D289B"/>
    <w:rsid w:val="36B64BF8"/>
    <w:rsid w:val="36D66323"/>
    <w:rsid w:val="373E3EE2"/>
    <w:rsid w:val="373F6334"/>
    <w:rsid w:val="37850389"/>
    <w:rsid w:val="379A14C2"/>
    <w:rsid w:val="37E611E6"/>
    <w:rsid w:val="38421B39"/>
    <w:rsid w:val="38FD7CAD"/>
    <w:rsid w:val="392A2F03"/>
    <w:rsid w:val="399C08E9"/>
    <w:rsid w:val="39D47F39"/>
    <w:rsid w:val="39F45D77"/>
    <w:rsid w:val="3A102CCA"/>
    <w:rsid w:val="3A2F315C"/>
    <w:rsid w:val="3A3A0AE4"/>
    <w:rsid w:val="3A405A02"/>
    <w:rsid w:val="3A500D37"/>
    <w:rsid w:val="3A682AFE"/>
    <w:rsid w:val="3AB23956"/>
    <w:rsid w:val="3AD06A3B"/>
    <w:rsid w:val="3ADE23A8"/>
    <w:rsid w:val="3AE9523A"/>
    <w:rsid w:val="3C272FDD"/>
    <w:rsid w:val="3C7C55D2"/>
    <w:rsid w:val="3C824587"/>
    <w:rsid w:val="3C977D8D"/>
    <w:rsid w:val="3C9B1E67"/>
    <w:rsid w:val="3CC70C5D"/>
    <w:rsid w:val="3CE77B24"/>
    <w:rsid w:val="3D870CAF"/>
    <w:rsid w:val="3E087DDB"/>
    <w:rsid w:val="3ED631EE"/>
    <w:rsid w:val="3EE21159"/>
    <w:rsid w:val="3F0A4B80"/>
    <w:rsid w:val="3F4F3B4E"/>
    <w:rsid w:val="3F7A6DCD"/>
    <w:rsid w:val="3F973ECD"/>
    <w:rsid w:val="3FD03FA1"/>
    <w:rsid w:val="3FD45671"/>
    <w:rsid w:val="3FEF3DB2"/>
    <w:rsid w:val="3FF5281A"/>
    <w:rsid w:val="404D614F"/>
    <w:rsid w:val="40AA3897"/>
    <w:rsid w:val="40B02FA4"/>
    <w:rsid w:val="40F57B6F"/>
    <w:rsid w:val="41184026"/>
    <w:rsid w:val="414F6C8A"/>
    <w:rsid w:val="41507906"/>
    <w:rsid w:val="41A12D8F"/>
    <w:rsid w:val="41F1311E"/>
    <w:rsid w:val="42024DE9"/>
    <w:rsid w:val="420763A5"/>
    <w:rsid w:val="429B1478"/>
    <w:rsid w:val="42A951E5"/>
    <w:rsid w:val="42CA7202"/>
    <w:rsid w:val="4380781C"/>
    <w:rsid w:val="43A67945"/>
    <w:rsid w:val="43E12535"/>
    <w:rsid w:val="4403309C"/>
    <w:rsid w:val="442A4903"/>
    <w:rsid w:val="44A4087A"/>
    <w:rsid w:val="44B60F28"/>
    <w:rsid w:val="44DE3E58"/>
    <w:rsid w:val="453D3882"/>
    <w:rsid w:val="4598687B"/>
    <w:rsid w:val="45A256C1"/>
    <w:rsid w:val="45D82B3A"/>
    <w:rsid w:val="45DE61C0"/>
    <w:rsid w:val="460F5659"/>
    <w:rsid w:val="46242932"/>
    <w:rsid w:val="46274E6A"/>
    <w:rsid w:val="465514F1"/>
    <w:rsid w:val="46582EF9"/>
    <w:rsid w:val="468118CF"/>
    <w:rsid w:val="46F975AC"/>
    <w:rsid w:val="472A251F"/>
    <w:rsid w:val="477B1A96"/>
    <w:rsid w:val="47AE30FB"/>
    <w:rsid w:val="47B77C06"/>
    <w:rsid w:val="47C5383E"/>
    <w:rsid w:val="47DA66D7"/>
    <w:rsid w:val="4812641C"/>
    <w:rsid w:val="48291CDA"/>
    <w:rsid w:val="48A7091D"/>
    <w:rsid w:val="490371B3"/>
    <w:rsid w:val="49075213"/>
    <w:rsid w:val="49B71B8D"/>
    <w:rsid w:val="49C46D05"/>
    <w:rsid w:val="49CD7CBC"/>
    <w:rsid w:val="4A0D54C2"/>
    <w:rsid w:val="4A862049"/>
    <w:rsid w:val="4A8756B3"/>
    <w:rsid w:val="4A9E1FC5"/>
    <w:rsid w:val="4B0404DF"/>
    <w:rsid w:val="4B0B301F"/>
    <w:rsid w:val="4B462A08"/>
    <w:rsid w:val="4B6D0445"/>
    <w:rsid w:val="4B926DFA"/>
    <w:rsid w:val="4C135050"/>
    <w:rsid w:val="4C2A7D35"/>
    <w:rsid w:val="4D2126CD"/>
    <w:rsid w:val="4D434611"/>
    <w:rsid w:val="4D653C43"/>
    <w:rsid w:val="4E3317B8"/>
    <w:rsid w:val="4E744FE0"/>
    <w:rsid w:val="4EB36721"/>
    <w:rsid w:val="4EB472D0"/>
    <w:rsid w:val="4F1125EE"/>
    <w:rsid w:val="4F5333E4"/>
    <w:rsid w:val="4FE22FC5"/>
    <w:rsid w:val="501D0464"/>
    <w:rsid w:val="506A18A8"/>
    <w:rsid w:val="519F07F1"/>
    <w:rsid w:val="51CB570A"/>
    <w:rsid w:val="525F08E2"/>
    <w:rsid w:val="528F04A7"/>
    <w:rsid w:val="529F0FA6"/>
    <w:rsid w:val="5317474F"/>
    <w:rsid w:val="53622446"/>
    <w:rsid w:val="54541AC8"/>
    <w:rsid w:val="54640F82"/>
    <w:rsid w:val="54BC1897"/>
    <w:rsid w:val="55CF2F44"/>
    <w:rsid w:val="55D90142"/>
    <w:rsid w:val="55E47CDA"/>
    <w:rsid w:val="562F340C"/>
    <w:rsid w:val="5644259B"/>
    <w:rsid w:val="56616EDA"/>
    <w:rsid w:val="567662B7"/>
    <w:rsid w:val="57B0136C"/>
    <w:rsid w:val="586E702A"/>
    <w:rsid w:val="592A5FA0"/>
    <w:rsid w:val="596C267D"/>
    <w:rsid w:val="59C77EEC"/>
    <w:rsid w:val="5A633AA3"/>
    <w:rsid w:val="5B446DC9"/>
    <w:rsid w:val="5B57579E"/>
    <w:rsid w:val="5B5967A3"/>
    <w:rsid w:val="5B691477"/>
    <w:rsid w:val="5BF828BB"/>
    <w:rsid w:val="5C1D68C8"/>
    <w:rsid w:val="5C1E6B77"/>
    <w:rsid w:val="5C797053"/>
    <w:rsid w:val="5C7E0F9C"/>
    <w:rsid w:val="5CB735CA"/>
    <w:rsid w:val="5CBA2195"/>
    <w:rsid w:val="5CE45BA9"/>
    <w:rsid w:val="5D6D29EC"/>
    <w:rsid w:val="5D742E04"/>
    <w:rsid w:val="5DD34171"/>
    <w:rsid w:val="5E3250CF"/>
    <w:rsid w:val="5E6E7FD3"/>
    <w:rsid w:val="5E843D08"/>
    <w:rsid w:val="5E911622"/>
    <w:rsid w:val="5EC64ADA"/>
    <w:rsid w:val="5ED41A72"/>
    <w:rsid w:val="5F227B5C"/>
    <w:rsid w:val="5F6C7D86"/>
    <w:rsid w:val="5F6F5040"/>
    <w:rsid w:val="5FB05C30"/>
    <w:rsid w:val="5FBF1205"/>
    <w:rsid w:val="5FFD3F9C"/>
    <w:rsid w:val="604838B1"/>
    <w:rsid w:val="609B560D"/>
    <w:rsid w:val="60AD7653"/>
    <w:rsid w:val="6110382B"/>
    <w:rsid w:val="61114932"/>
    <w:rsid w:val="61D95B1A"/>
    <w:rsid w:val="623B7A6C"/>
    <w:rsid w:val="62763582"/>
    <w:rsid w:val="629C4F32"/>
    <w:rsid w:val="62B257B0"/>
    <w:rsid w:val="63520993"/>
    <w:rsid w:val="63774931"/>
    <w:rsid w:val="637A7782"/>
    <w:rsid w:val="63DD0106"/>
    <w:rsid w:val="64173B4C"/>
    <w:rsid w:val="64380B88"/>
    <w:rsid w:val="64FD174C"/>
    <w:rsid w:val="650D7360"/>
    <w:rsid w:val="65360CBE"/>
    <w:rsid w:val="65A62FE6"/>
    <w:rsid w:val="65C53F7D"/>
    <w:rsid w:val="65D00895"/>
    <w:rsid w:val="65F60BE5"/>
    <w:rsid w:val="663C7FFA"/>
    <w:rsid w:val="664C37C7"/>
    <w:rsid w:val="6653145E"/>
    <w:rsid w:val="666219C9"/>
    <w:rsid w:val="66BB0A4B"/>
    <w:rsid w:val="67016705"/>
    <w:rsid w:val="67844212"/>
    <w:rsid w:val="681729DF"/>
    <w:rsid w:val="68243804"/>
    <w:rsid w:val="68F93D75"/>
    <w:rsid w:val="69397200"/>
    <w:rsid w:val="694F6CFA"/>
    <w:rsid w:val="695508B1"/>
    <w:rsid w:val="69763A0F"/>
    <w:rsid w:val="69860DB7"/>
    <w:rsid w:val="69A171E5"/>
    <w:rsid w:val="69B65392"/>
    <w:rsid w:val="69C54C81"/>
    <w:rsid w:val="6A45393C"/>
    <w:rsid w:val="6A6234EA"/>
    <w:rsid w:val="6A6A3E6A"/>
    <w:rsid w:val="6AB637E9"/>
    <w:rsid w:val="6ABA4E96"/>
    <w:rsid w:val="6B39372B"/>
    <w:rsid w:val="6B605F40"/>
    <w:rsid w:val="6B9E1660"/>
    <w:rsid w:val="6BE23440"/>
    <w:rsid w:val="6C650AE9"/>
    <w:rsid w:val="6CBE4118"/>
    <w:rsid w:val="6CC05509"/>
    <w:rsid w:val="6CC22011"/>
    <w:rsid w:val="6CF2071B"/>
    <w:rsid w:val="6CF42FB0"/>
    <w:rsid w:val="6D073829"/>
    <w:rsid w:val="6D3334A8"/>
    <w:rsid w:val="6DCC73A0"/>
    <w:rsid w:val="6DD75ED4"/>
    <w:rsid w:val="6DE14D5D"/>
    <w:rsid w:val="6DFA1DED"/>
    <w:rsid w:val="6E271859"/>
    <w:rsid w:val="6E2B366D"/>
    <w:rsid w:val="6F0A739F"/>
    <w:rsid w:val="6F453330"/>
    <w:rsid w:val="6F6A0F44"/>
    <w:rsid w:val="6FAD500D"/>
    <w:rsid w:val="6FB82FEF"/>
    <w:rsid w:val="6FC74935"/>
    <w:rsid w:val="6FC86281"/>
    <w:rsid w:val="6FE85470"/>
    <w:rsid w:val="701E2FE7"/>
    <w:rsid w:val="712F3A97"/>
    <w:rsid w:val="71637C9A"/>
    <w:rsid w:val="717B62E9"/>
    <w:rsid w:val="71940E58"/>
    <w:rsid w:val="71F8358E"/>
    <w:rsid w:val="726F7235"/>
    <w:rsid w:val="72D579D1"/>
    <w:rsid w:val="735733A2"/>
    <w:rsid w:val="736D35BD"/>
    <w:rsid w:val="73B0523E"/>
    <w:rsid w:val="73F161BC"/>
    <w:rsid w:val="7432603C"/>
    <w:rsid w:val="74352D9B"/>
    <w:rsid w:val="743C4184"/>
    <w:rsid w:val="74513369"/>
    <w:rsid w:val="74516BA9"/>
    <w:rsid w:val="745645E6"/>
    <w:rsid w:val="74737D7C"/>
    <w:rsid w:val="75586C03"/>
    <w:rsid w:val="757D2FA5"/>
    <w:rsid w:val="75806636"/>
    <w:rsid w:val="75A3007E"/>
    <w:rsid w:val="75DB2FFE"/>
    <w:rsid w:val="75F9098E"/>
    <w:rsid w:val="764E0AE5"/>
    <w:rsid w:val="766869B4"/>
    <w:rsid w:val="768532C2"/>
    <w:rsid w:val="76BC3A6A"/>
    <w:rsid w:val="76F92DAD"/>
    <w:rsid w:val="772E28CA"/>
    <w:rsid w:val="776D04CF"/>
    <w:rsid w:val="783A17DE"/>
    <w:rsid w:val="787D4BA4"/>
    <w:rsid w:val="78864935"/>
    <w:rsid w:val="78943ADC"/>
    <w:rsid w:val="78AC53A2"/>
    <w:rsid w:val="79092F45"/>
    <w:rsid w:val="79261553"/>
    <w:rsid w:val="792816A6"/>
    <w:rsid w:val="794B1148"/>
    <w:rsid w:val="79AF47E2"/>
    <w:rsid w:val="79AF6AC6"/>
    <w:rsid w:val="79CD0F0B"/>
    <w:rsid w:val="7A09234E"/>
    <w:rsid w:val="7A2C1D3B"/>
    <w:rsid w:val="7A3D4596"/>
    <w:rsid w:val="7A6F3262"/>
    <w:rsid w:val="7A7C53ED"/>
    <w:rsid w:val="7B414297"/>
    <w:rsid w:val="7B48537F"/>
    <w:rsid w:val="7B852F12"/>
    <w:rsid w:val="7B8D79CB"/>
    <w:rsid w:val="7BF76722"/>
    <w:rsid w:val="7C452326"/>
    <w:rsid w:val="7C885C89"/>
    <w:rsid w:val="7C8B1B70"/>
    <w:rsid w:val="7CF17C26"/>
    <w:rsid w:val="7D0411CC"/>
    <w:rsid w:val="7D7F16BE"/>
    <w:rsid w:val="7D8A7CFE"/>
    <w:rsid w:val="7D955AD1"/>
    <w:rsid w:val="7DC2626C"/>
    <w:rsid w:val="7DCC4A5C"/>
    <w:rsid w:val="7EE563E7"/>
    <w:rsid w:val="7F0D0B7C"/>
    <w:rsid w:val="7F260033"/>
    <w:rsid w:val="7F2973D7"/>
    <w:rsid w:val="7F2F2138"/>
    <w:rsid w:val="7F312FCE"/>
    <w:rsid w:val="7F3A1A06"/>
    <w:rsid w:val="7F4E3627"/>
    <w:rsid w:val="7F94143E"/>
    <w:rsid w:val="7FD14FE6"/>
    <w:rsid w:val="7FD17B0D"/>
    <w:rsid w:val="7FDC466E"/>
    <w:rsid w:val="7FFA1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eastAsia="宋体"/>
      <w:b/>
      <w:bCs/>
      <w:kern w:val="44"/>
      <w:sz w:val="44"/>
      <w:szCs w:val="44"/>
    </w:rPr>
  </w:style>
  <w:style w:type="paragraph" w:styleId="5">
    <w:name w:val="heading 2"/>
    <w:basedOn w:val="1"/>
    <w:next w:val="1"/>
    <w:unhideWhenUsed/>
    <w:qFormat/>
    <w:uiPriority w:val="0"/>
    <w:pPr>
      <w:keepNext/>
      <w:keepLines/>
      <w:spacing w:before="100" w:line="360" w:lineRule="auto"/>
      <w:outlineLvl w:val="1"/>
    </w:pPr>
    <w:rPr>
      <w:rFonts w:ascii="Arial" w:hAnsi="Arial" w:eastAsia="黑体"/>
      <w:sz w:val="28"/>
      <w:szCs w:val="32"/>
    </w:rPr>
  </w:style>
  <w:style w:type="paragraph" w:styleId="6">
    <w:name w:val="heading 3"/>
    <w:basedOn w:val="1"/>
    <w:next w:val="1"/>
    <w:unhideWhenUsed/>
    <w:qFormat/>
    <w:uiPriority w:val="0"/>
    <w:pPr>
      <w:keepNext/>
      <w:keepLines/>
      <w:spacing w:before="100" w:line="360" w:lineRule="auto"/>
      <w:outlineLvl w:val="2"/>
    </w:pPr>
    <w:rPr>
      <w:rFonts w:ascii="Times New Roman" w:hAnsi="Times New Roman" w:eastAsia="宋体"/>
      <w:bCs/>
      <w:sz w:val="24"/>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rPr>
      <w:rFonts w:hint="eastAsia"/>
    </w:rPr>
  </w:style>
  <w:style w:type="paragraph" w:styleId="3">
    <w:name w:val="Body Text Indent"/>
    <w:basedOn w:val="1"/>
    <w:qFormat/>
    <w:uiPriority w:val="0"/>
    <w:pPr>
      <w:spacing w:after="120"/>
      <w:ind w:left="420" w:leftChars="200"/>
    </w:pPr>
  </w:style>
  <w:style w:type="paragraph" w:styleId="7">
    <w:name w:val="Normal Indent"/>
    <w:basedOn w:val="1"/>
    <w:qFormat/>
    <w:uiPriority w:val="0"/>
    <w:pPr>
      <w:ind w:firstLine="420"/>
    </w:pPr>
    <w:rPr>
      <w:szCs w:val="20"/>
    </w:rPr>
  </w:style>
  <w:style w:type="paragraph" w:styleId="8">
    <w:name w:val="annotation text"/>
    <w:basedOn w:val="1"/>
    <w:qFormat/>
    <w:uiPriority w:val="0"/>
    <w:pPr>
      <w:jc w:val="left"/>
    </w:pPr>
  </w:style>
  <w:style w:type="paragraph" w:styleId="9">
    <w:name w:val="Body Text 3"/>
    <w:basedOn w:val="1"/>
    <w:qFormat/>
    <w:uiPriority w:val="0"/>
    <w:rPr>
      <w:rFonts w:ascii="宋体"/>
      <w:sz w:val="24"/>
      <w:szCs w:val="20"/>
    </w:rPr>
  </w:style>
  <w:style w:type="paragraph" w:styleId="10">
    <w:name w:val="Body Text"/>
    <w:basedOn w:val="1"/>
    <w:qFormat/>
    <w:uiPriority w:val="1"/>
    <w:pPr>
      <w:ind w:left="148"/>
    </w:pPr>
    <w:rPr>
      <w:rFonts w:ascii="宋体" w:hAnsi="宋体" w:eastAsia="宋体"/>
      <w:sz w:val="24"/>
    </w:rPr>
  </w:style>
  <w:style w:type="paragraph" w:styleId="11">
    <w:name w:val="toc 3"/>
    <w:basedOn w:val="1"/>
    <w:next w:val="1"/>
    <w:qFormat/>
    <w:uiPriority w:val="0"/>
    <w:pPr>
      <w:ind w:left="840" w:leftChars="400"/>
    </w:pPr>
  </w:style>
  <w:style w:type="paragraph" w:styleId="12">
    <w:name w:val="Plain Text"/>
    <w:basedOn w:val="1"/>
    <w:qFormat/>
    <w:uiPriority w:val="0"/>
    <w:rPr>
      <w:rFonts w:ascii="Courier New" w:hAnsi="Courier New"/>
      <w:szCs w:val="20"/>
    </w:rPr>
  </w:style>
  <w:style w:type="paragraph" w:styleId="13">
    <w:name w:val="Balloon Text"/>
    <w:basedOn w:val="1"/>
    <w:link w:val="80"/>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Normal (Web)"/>
    <w:basedOn w:val="1"/>
    <w:unhideWhenUsed/>
    <w:qFormat/>
    <w:uiPriority w:val="99"/>
    <w:rPr>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sz w:val="25"/>
      <w:szCs w:val="25"/>
      <w:shd w:val="clear" w:color="auto" w:fill="FFFFFF"/>
    </w:rPr>
  </w:style>
  <w:style w:type="character" w:styleId="23">
    <w:name w:val="page number"/>
    <w:basedOn w:val="21"/>
    <w:qFormat/>
    <w:uiPriority w:val="0"/>
  </w:style>
  <w:style w:type="character" w:styleId="24">
    <w:name w:val="FollowedHyperlink"/>
    <w:basedOn w:val="21"/>
    <w:qFormat/>
    <w:uiPriority w:val="0"/>
    <w:rPr>
      <w:rFonts w:hint="eastAsia" w:ascii="宋体" w:hAnsi="宋体" w:eastAsia="宋体" w:cs="宋体"/>
      <w:color w:val="800080"/>
      <w:sz w:val="18"/>
      <w:szCs w:val="18"/>
      <w:u w:val="none"/>
    </w:rPr>
  </w:style>
  <w:style w:type="character" w:styleId="25">
    <w:name w:val="Emphasis"/>
    <w:basedOn w:val="21"/>
    <w:qFormat/>
    <w:uiPriority w:val="0"/>
    <w:rPr>
      <w:i/>
    </w:rPr>
  </w:style>
  <w:style w:type="character" w:styleId="26">
    <w:name w:val="HTML Definition"/>
    <w:basedOn w:val="21"/>
    <w:qFormat/>
    <w:uiPriority w:val="0"/>
    <w:rPr>
      <w:i/>
      <w:sz w:val="27"/>
      <w:szCs w:val="27"/>
    </w:rPr>
  </w:style>
  <w:style w:type="character" w:styleId="27">
    <w:name w:val="Hyperlink"/>
    <w:basedOn w:val="21"/>
    <w:qFormat/>
    <w:uiPriority w:val="0"/>
    <w:rPr>
      <w:rFonts w:hint="eastAsia" w:ascii="宋体" w:hAnsi="宋体" w:eastAsia="宋体" w:cs="宋体"/>
      <w:color w:val="000000"/>
      <w:sz w:val="18"/>
      <w:szCs w:val="18"/>
      <w:u w:val="none"/>
    </w:rPr>
  </w:style>
  <w:style w:type="character" w:styleId="28">
    <w:name w:val="HTML Code"/>
    <w:basedOn w:val="21"/>
    <w:qFormat/>
    <w:uiPriority w:val="0"/>
    <w:rPr>
      <w:rFonts w:hint="default" w:ascii="Consolas" w:hAnsi="Consolas" w:eastAsia="Consolas" w:cs="Consolas"/>
      <w:color w:val="C7254E"/>
      <w:sz w:val="21"/>
      <w:szCs w:val="21"/>
      <w:shd w:val="clear" w:color="auto" w:fill="F9F2F4"/>
    </w:rPr>
  </w:style>
  <w:style w:type="character" w:styleId="29">
    <w:name w:val="HTML Keyboard"/>
    <w:basedOn w:val="21"/>
    <w:qFormat/>
    <w:uiPriority w:val="0"/>
    <w:rPr>
      <w:rFonts w:ascii="Consolas" w:hAnsi="Consolas" w:eastAsia="Consolas" w:cs="Consolas"/>
      <w:color w:val="FFFFFF"/>
      <w:sz w:val="21"/>
      <w:szCs w:val="21"/>
      <w:shd w:val="clear" w:color="auto" w:fill="333333"/>
    </w:rPr>
  </w:style>
  <w:style w:type="character" w:styleId="30">
    <w:name w:val="HTML Sample"/>
    <w:basedOn w:val="21"/>
    <w:qFormat/>
    <w:uiPriority w:val="0"/>
    <w:rPr>
      <w:rFonts w:hint="default" w:ascii="Consolas" w:hAnsi="Consolas" w:eastAsia="Consolas" w:cs="Consolas"/>
      <w:sz w:val="21"/>
      <w:szCs w:val="21"/>
    </w:rPr>
  </w:style>
  <w:style w:type="paragraph" w:customStyle="1" w:styleId="31">
    <w:name w:val="正文（缩进）"/>
    <w:basedOn w:val="1"/>
    <w:qFormat/>
    <w:uiPriority w:val="0"/>
    <w:pPr>
      <w:spacing w:before="50" w:after="50"/>
      <w:ind w:firstLine="200" w:firstLineChars="200"/>
    </w:pPr>
    <w:rPr>
      <w:szCs w:val="22"/>
    </w:rPr>
  </w:style>
  <w:style w:type="paragraph" w:customStyle="1" w:styleId="32">
    <w:name w:val="Char3"/>
    <w:basedOn w:val="1"/>
    <w:qFormat/>
    <w:uiPriority w:val="0"/>
  </w:style>
  <w:style w:type="paragraph" w:customStyle="1" w:styleId="33">
    <w:name w:val="无间隔2"/>
    <w:qFormat/>
    <w:uiPriority w:val="1"/>
    <w:pPr>
      <w:widowControl w:val="0"/>
      <w:jc w:val="both"/>
    </w:pPr>
    <w:rPr>
      <w:rFonts w:ascii="Calibri" w:hAnsi="Calibri" w:eastAsia="宋体" w:cs="Times New Roman"/>
      <w:kern w:val="2"/>
      <w:sz w:val="21"/>
      <w:szCs w:val="22"/>
      <w:lang w:val="en-US" w:eastAsia="zh-CN" w:bidi="ar-SA"/>
    </w:rPr>
  </w:style>
  <w:style w:type="character" w:customStyle="1" w:styleId="34">
    <w:name w:val="ui-input"/>
    <w:basedOn w:val="21"/>
    <w:qFormat/>
    <w:uiPriority w:val="0"/>
  </w:style>
  <w:style w:type="character" w:customStyle="1" w:styleId="35">
    <w:name w:val="ui-page-next"/>
    <w:basedOn w:val="21"/>
    <w:qFormat/>
    <w:uiPriority w:val="0"/>
    <w:rPr>
      <w:color w:val="CCD0D7"/>
    </w:rPr>
  </w:style>
  <w:style w:type="character" w:customStyle="1" w:styleId="36">
    <w:name w:val="ui-search-input"/>
    <w:basedOn w:val="21"/>
    <w:qFormat/>
    <w:uiPriority w:val="0"/>
  </w:style>
  <w:style w:type="character" w:customStyle="1" w:styleId="37">
    <w:name w:val="hover13"/>
    <w:basedOn w:val="21"/>
    <w:qFormat/>
    <w:uiPriority w:val="0"/>
    <w:rPr>
      <w:shd w:val="clear" w:color="auto" w:fill="F3F3F3"/>
    </w:rPr>
  </w:style>
  <w:style w:type="character" w:customStyle="1" w:styleId="38">
    <w:name w:val="hover14"/>
    <w:basedOn w:val="21"/>
    <w:qFormat/>
    <w:uiPriority w:val="0"/>
    <w:rPr>
      <w:sz w:val="21"/>
      <w:szCs w:val="21"/>
    </w:rPr>
  </w:style>
  <w:style w:type="character" w:customStyle="1" w:styleId="39">
    <w:name w:val="hover15"/>
    <w:basedOn w:val="21"/>
    <w:qFormat/>
    <w:uiPriority w:val="0"/>
    <w:rPr>
      <w:shd w:val="clear" w:color="auto" w:fill="F3F3F3"/>
    </w:rPr>
  </w:style>
  <w:style w:type="character" w:customStyle="1" w:styleId="40">
    <w:name w:val="ui-page2"/>
    <w:basedOn w:val="21"/>
    <w:qFormat/>
    <w:uiPriority w:val="0"/>
  </w:style>
  <w:style w:type="character" w:customStyle="1" w:styleId="41">
    <w:name w:val="ui-page-prev2"/>
    <w:basedOn w:val="21"/>
    <w:qFormat/>
    <w:uiPriority w:val="0"/>
    <w:rPr>
      <w:color w:val="CCD0D7"/>
    </w:rPr>
  </w:style>
  <w:style w:type="character" w:customStyle="1" w:styleId="42">
    <w:name w:val="ui-droplist-li2"/>
    <w:basedOn w:val="21"/>
    <w:qFormat/>
    <w:uiPriority w:val="0"/>
    <w:rPr>
      <w:color w:val="A2A9B6"/>
    </w:rPr>
  </w:style>
  <w:style w:type="character" w:customStyle="1" w:styleId="43">
    <w:name w:val="selected"/>
    <w:basedOn w:val="21"/>
    <w:qFormat/>
    <w:uiPriority w:val="0"/>
  </w:style>
  <w:style w:type="character" w:customStyle="1" w:styleId="44">
    <w:name w:val="ui-date-prev2"/>
    <w:basedOn w:val="21"/>
    <w:qFormat/>
    <w:uiPriority w:val="0"/>
    <w:rPr>
      <w:color w:val="CCD0D7"/>
    </w:rPr>
  </w:style>
  <w:style w:type="character" w:customStyle="1" w:styleId="45">
    <w:name w:val="ui-date-next2"/>
    <w:basedOn w:val="21"/>
    <w:qFormat/>
    <w:uiPriority w:val="0"/>
    <w:rPr>
      <w:color w:val="CCD0D7"/>
    </w:rPr>
  </w:style>
  <w:style w:type="character" w:customStyle="1" w:styleId="46">
    <w:name w:val="ui-date-item12"/>
    <w:basedOn w:val="21"/>
    <w:qFormat/>
    <w:uiPriority w:val="0"/>
    <w:rPr>
      <w:color w:val="CCD0D7"/>
    </w:rPr>
  </w:style>
  <w:style w:type="character" w:customStyle="1" w:styleId="47">
    <w:name w:val="layui-layer-tabnow"/>
    <w:basedOn w:val="21"/>
    <w:qFormat/>
    <w:uiPriority w:val="0"/>
    <w:rPr>
      <w:bdr w:val="single" w:color="CCCCCC" w:sz="6" w:space="0"/>
      <w:shd w:val="clear" w:color="auto" w:fill="FFFFFF"/>
    </w:rPr>
  </w:style>
  <w:style w:type="character" w:customStyle="1" w:styleId="48">
    <w:name w:val="first-child"/>
    <w:basedOn w:val="21"/>
    <w:qFormat/>
    <w:uiPriority w:val="0"/>
  </w:style>
  <w:style w:type="character" w:customStyle="1" w:styleId="49">
    <w:name w:val="error2"/>
    <w:basedOn w:val="21"/>
    <w:qFormat/>
    <w:uiPriority w:val="0"/>
    <w:rPr>
      <w:color w:val="FF0000"/>
    </w:rPr>
  </w:style>
  <w:style w:type="character" w:customStyle="1" w:styleId="50">
    <w:name w:val="success"/>
    <w:basedOn w:val="21"/>
    <w:qFormat/>
    <w:uiPriority w:val="0"/>
    <w:rPr>
      <w:color w:val="999999"/>
    </w:rPr>
  </w:style>
  <w:style w:type="character" w:customStyle="1" w:styleId="51">
    <w:name w:val="ui-page-next2"/>
    <w:basedOn w:val="21"/>
    <w:qFormat/>
    <w:uiPriority w:val="0"/>
    <w:rPr>
      <w:color w:val="CCD0D7"/>
    </w:rPr>
  </w:style>
  <w:style w:type="character" w:customStyle="1" w:styleId="52">
    <w:name w:val="ui-date-next"/>
    <w:basedOn w:val="21"/>
    <w:qFormat/>
    <w:uiPriority w:val="0"/>
    <w:rPr>
      <w:color w:val="CCD0D7"/>
    </w:rPr>
  </w:style>
  <w:style w:type="character" w:customStyle="1" w:styleId="53">
    <w:name w:val="selected5"/>
    <w:basedOn w:val="21"/>
    <w:qFormat/>
    <w:uiPriority w:val="0"/>
  </w:style>
  <w:style w:type="character" w:customStyle="1" w:styleId="54">
    <w:name w:val="ui-droplist-li"/>
    <w:basedOn w:val="21"/>
    <w:qFormat/>
    <w:uiPriority w:val="0"/>
    <w:rPr>
      <w:color w:val="A2A9B6"/>
    </w:rPr>
  </w:style>
  <w:style w:type="character" w:customStyle="1" w:styleId="55">
    <w:name w:val="selected6"/>
    <w:basedOn w:val="21"/>
    <w:qFormat/>
    <w:uiPriority w:val="0"/>
  </w:style>
  <w:style w:type="character" w:customStyle="1" w:styleId="56">
    <w:name w:val="hover10"/>
    <w:basedOn w:val="21"/>
    <w:qFormat/>
    <w:uiPriority w:val="0"/>
    <w:rPr>
      <w:shd w:val="clear" w:color="auto" w:fill="F3F3F3"/>
    </w:rPr>
  </w:style>
  <w:style w:type="character" w:customStyle="1" w:styleId="57">
    <w:name w:val="hover11"/>
    <w:basedOn w:val="21"/>
    <w:qFormat/>
    <w:uiPriority w:val="0"/>
    <w:rPr>
      <w:sz w:val="21"/>
      <w:szCs w:val="21"/>
    </w:rPr>
  </w:style>
  <w:style w:type="character" w:customStyle="1" w:styleId="58">
    <w:name w:val="hover12"/>
    <w:basedOn w:val="21"/>
    <w:qFormat/>
    <w:uiPriority w:val="0"/>
    <w:rPr>
      <w:shd w:val="clear" w:color="auto" w:fill="F3F3F3"/>
    </w:rPr>
  </w:style>
  <w:style w:type="character" w:customStyle="1" w:styleId="59">
    <w:name w:val="hover9"/>
    <w:basedOn w:val="21"/>
    <w:qFormat/>
    <w:uiPriority w:val="0"/>
    <w:rPr>
      <w:shd w:val="clear" w:color="auto" w:fill="F3F3F3"/>
    </w:rPr>
  </w:style>
  <w:style w:type="character" w:customStyle="1" w:styleId="60">
    <w:name w:val="ui-date-item11"/>
    <w:basedOn w:val="21"/>
    <w:qFormat/>
    <w:uiPriority w:val="0"/>
    <w:rPr>
      <w:color w:val="CCD0D7"/>
    </w:rPr>
  </w:style>
  <w:style w:type="character" w:customStyle="1" w:styleId="61">
    <w:name w:val="hover35"/>
    <w:basedOn w:val="21"/>
    <w:qFormat/>
    <w:uiPriority w:val="0"/>
    <w:rPr>
      <w:color w:val="FFFFFF"/>
      <w:shd w:val="clear" w:color="auto" w:fill="1F80E6"/>
    </w:rPr>
  </w:style>
  <w:style w:type="character" w:customStyle="1" w:styleId="62">
    <w:name w:val="hover36"/>
    <w:basedOn w:val="21"/>
    <w:qFormat/>
    <w:uiPriority w:val="0"/>
    <w:rPr>
      <w:color w:val="FF0000"/>
    </w:rPr>
  </w:style>
  <w:style w:type="character" w:customStyle="1" w:styleId="63">
    <w:name w:val="hover37"/>
    <w:basedOn w:val="21"/>
    <w:qFormat/>
    <w:uiPriority w:val="0"/>
    <w:rPr>
      <w:color w:val="FFFFFF"/>
      <w:shd w:val="clear" w:color="auto" w:fill="1F80E6"/>
    </w:rPr>
  </w:style>
  <w:style w:type="character" w:customStyle="1" w:styleId="64">
    <w:name w:val="active17"/>
    <w:basedOn w:val="21"/>
    <w:qFormat/>
    <w:uiPriority w:val="0"/>
    <w:rPr>
      <w:color w:val="FFFFFF"/>
      <w:shd w:val="clear" w:color="auto" w:fill="1F80E6"/>
    </w:rPr>
  </w:style>
  <w:style w:type="character" w:customStyle="1" w:styleId="65">
    <w:name w:val="active18"/>
    <w:basedOn w:val="21"/>
    <w:qFormat/>
    <w:uiPriority w:val="0"/>
    <w:rPr>
      <w:color w:val="FFFFFF"/>
      <w:shd w:val="clear" w:color="auto" w:fill="2B70B8"/>
    </w:rPr>
  </w:style>
  <w:style w:type="character" w:customStyle="1" w:styleId="66">
    <w:name w:val="panel_title"/>
    <w:basedOn w:val="21"/>
    <w:qFormat/>
    <w:uiPriority w:val="0"/>
  </w:style>
  <w:style w:type="character" w:customStyle="1" w:styleId="67">
    <w:name w:val="infro_laiyuan"/>
    <w:basedOn w:val="21"/>
    <w:qFormat/>
    <w:uiPriority w:val="0"/>
    <w:rPr>
      <w:b/>
      <w:color w:val="0099CC"/>
    </w:rPr>
  </w:style>
  <w:style w:type="character" w:customStyle="1" w:styleId="68">
    <w:name w:val="current"/>
    <w:basedOn w:val="21"/>
    <w:qFormat/>
    <w:uiPriority w:val="0"/>
    <w:rPr>
      <w:shd w:val="clear" w:color="auto" w:fill="1F80E6"/>
    </w:rPr>
  </w:style>
  <w:style w:type="character" w:customStyle="1" w:styleId="69">
    <w:name w:val="today"/>
    <w:basedOn w:val="21"/>
    <w:qFormat/>
    <w:uiPriority w:val="0"/>
    <w:rPr>
      <w:color w:val="737373"/>
    </w:rPr>
  </w:style>
  <w:style w:type="character" w:customStyle="1" w:styleId="70">
    <w:name w:val="active"/>
    <w:basedOn w:val="21"/>
    <w:qFormat/>
    <w:uiPriority w:val="0"/>
    <w:rPr>
      <w:color w:val="FFFFFF"/>
      <w:shd w:val="clear" w:color="auto" w:fill="2B70B8"/>
    </w:rPr>
  </w:style>
  <w:style w:type="character" w:customStyle="1" w:styleId="71">
    <w:name w:val="active1"/>
    <w:basedOn w:val="21"/>
    <w:qFormat/>
    <w:uiPriority w:val="0"/>
    <w:rPr>
      <w:color w:val="FFFFFF"/>
      <w:shd w:val="clear" w:color="auto" w:fill="1F80E6"/>
    </w:rPr>
  </w:style>
  <w:style w:type="character" w:customStyle="1" w:styleId="72">
    <w:name w:val="hover40"/>
    <w:basedOn w:val="21"/>
    <w:qFormat/>
    <w:uiPriority w:val="0"/>
    <w:rPr>
      <w:color w:val="FF0000"/>
    </w:rPr>
  </w:style>
  <w:style w:type="character" w:customStyle="1" w:styleId="73">
    <w:name w:val="hover41"/>
    <w:basedOn w:val="21"/>
    <w:qFormat/>
    <w:uiPriority w:val="0"/>
    <w:rPr>
      <w:color w:val="FFFFFF"/>
      <w:shd w:val="clear" w:color="auto" w:fill="1F80E6"/>
    </w:rPr>
  </w:style>
  <w:style w:type="character" w:customStyle="1" w:styleId="74">
    <w:name w:val="hover42"/>
    <w:basedOn w:val="21"/>
    <w:qFormat/>
    <w:uiPriority w:val="0"/>
    <w:rPr>
      <w:color w:val="FFFFFF"/>
      <w:shd w:val="clear" w:color="auto" w:fill="1F80E6"/>
    </w:rPr>
  </w:style>
  <w:style w:type="paragraph" w:customStyle="1" w:styleId="75">
    <w:name w:val="WPSOffice手动目录 1"/>
    <w:qFormat/>
    <w:uiPriority w:val="0"/>
    <w:rPr>
      <w:rFonts w:ascii="Times New Roman" w:hAnsi="Times New Roman" w:eastAsia="宋体" w:cs="Times New Roman"/>
      <w:lang w:val="en-US" w:eastAsia="zh-CN" w:bidi="ar-SA"/>
    </w:rPr>
  </w:style>
  <w:style w:type="paragraph" w:customStyle="1" w:styleId="76">
    <w:name w:val="P2"/>
    <w:qFormat/>
    <w:uiPriority w:val="0"/>
    <w:pPr>
      <w:widowControl w:val="0"/>
      <w:adjustRightInd w:val="0"/>
      <w:spacing w:after="240" w:line="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77">
    <w:name w:val="P5"/>
    <w:qFormat/>
    <w:uiPriority w:val="0"/>
    <w:pPr>
      <w:widowControl w:val="0"/>
      <w:adjustRightInd w:val="0"/>
      <w:spacing w:after="240" w:line="0" w:lineRule="atLeast"/>
      <w:ind w:left="2304"/>
      <w:jc w:val="both"/>
      <w:textAlignment w:val="baseline"/>
    </w:pPr>
    <w:rPr>
      <w:rFonts w:ascii="Times New Roman" w:hAnsi="Times New Roman" w:eastAsia="全真中明體" w:cs="Times New Roman"/>
      <w:spacing w:val="30"/>
      <w:sz w:val="24"/>
      <w:lang w:val="en-GB" w:eastAsia="zh-TW" w:bidi="ar-SA"/>
    </w:rPr>
  </w:style>
  <w:style w:type="character" w:customStyle="1" w:styleId="78">
    <w:name w:val="ui-page-prev"/>
    <w:basedOn w:val="21"/>
    <w:qFormat/>
    <w:uiPriority w:val="0"/>
    <w:rPr>
      <w:color w:val="CCD0D7"/>
    </w:rPr>
  </w:style>
  <w:style w:type="paragraph" w:customStyle="1" w:styleId="79">
    <w:name w:val="Table Paragraph"/>
    <w:basedOn w:val="1"/>
    <w:qFormat/>
    <w:uiPriority w:val="1"/>
  </w:style>
  <w:style w:type="character" w:customStyle="1" w:styleId="80">
    <w:name w:val="批注框文本 字符"/>
    <w:basedOn w:val="21"/>
    <w:link w:val="13"/>
    <w:qFormat/>
    <w:uiPriority w:val="0"/>
    <w:rPr>
      <w:kern w:val="2"/>
      <w:sz w:val="18"/>
      <w:szCs w:val="18"/>
    </w:rPr>
  </w:style>
  <w:style w:type="character" w:styleId="81">
    <w:name w:val="Placeholder Text"/>
    <w:basedOn w:val="21"/>
    <w:semiHidden/>
    <w:qFormat/>
    <w:uiPriority w:val="99"/>
    <w:rPr>
      <w:color w:val="808080"/>
    </w:rPr>
  </w:style>
  <w:style w:type="character" w:customStyle="1" w:styleId="82">
    <w:name w:val="txt71"/>
    <w:basedOn w:val="21"/>
    <w:qFormat/>
    <w:uiPriority w:val="0"/>
    <w:rPr>
      <w:rFonts w:hint="eastAsia" w:ascii="微软雅黑" w:hAnsi="微软雅黑" w:eastAsia="微软雅黑" w:cs="微软雅黑"/>
      <w:color w:val="4A4A4A"/>
      <w:sz w:val="21"/>
      <w:szCs w:val="21"/>
      <w:u w:val="none"/>
    </w:rPr>
  </w:style>
  <w:style w:type="paragraph" w:styleId="8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5B8B35-7AD4-49E0-98C0-5FC53C53B197}">
  <ds:schemaRefs/>
</ds:datastoreItem>
</file>

<file path=docProps/app.xml><?xml version="1.0" encoding="utf-8"?>
<Properties xmlns="http://schemas.openxmlformats.org/officeDocument/2006/extended-properties" xmlns:vt="http://schemas.openxmlformats.org/officeDocument/2006/docPropsVTypes">
  <Template>Normal</Template>
  <Pages>47</Pages>
  <Words>3232</Words>
  <Characters>18426</Characters>
  <Lines>153</Lines>
  <Paragraphs>43</Paragraphs>
  <TotalTime>80</TotalTime>
  <ScaleCrop>false</ScaleCrop>
  <LinksUpToDate>false</LinksUpToDate>
  <CharactersWithSpaces>21615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2018-07-06T06:52:00Z</dcterms:created>
  <dc:creator>Administrator</dc:creator>
  <cp:lastModifiedBy>陈子钰</cp:lastModifiedBy>
  <cp:lastPrinted>2019-10-29T06:20:00Z</cp:lastPrinted>
  <dcterms:modified xsi:type="dcterms:W3CDTF">2020-04-20T02:49:56Z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