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hAnsi="宋体" w:cs="宋体"/>
          <w:b/>
          <w:sz w:val="44"/>
          <w:szCs w:val="44"/>
        </w:rPr>
      </w:pPr>
    </w:p>
    <w:p>
      <w:pPr>
        <w:spacing w:before="120" w:after="120" w:line="360" w:lineRule="auto"/>
        <w:jc w:val="center"/>
        <w:rPr>
          <w:rFonts w:hAnsi="宋体" w:cs="宋体"/>
          <w:b/>
          <w:sz w:val="36"/>
          <w:szCs w:val="36"/>
          <w:u w:val="single"/>
        </w:rPr>
      </w:pPr>
    </w:p>
    <w:p>
      <w:pPr>
        <w:spacing w:before="120" w:after="120" w:line="360" w:lineRule="auto"/>
        <w:jc w:val="center"/>
        <w:rPr>
          <w:rFonts w:hAnsi="宋体" w:cs="宋体"/>
          <w:b/>
          <w:sz w:val="36"/>
          <w:szCs w:val="36"/>
          <w:u w:val="single"/>
        </w:rPr>
      </w:pPr>
    </w:p>
    <w:p>
      <w:pPr>
        <w:spacing w:before="120" w:after="120" w:line="360" w:lineRule="auto"/>
        <w:jc w:val="center"/>
        <w:rPr>
          <w:rFonts w:hAnsi="宋体" w:cs="宋体"/>
          <w:b/>
          <w:sz w:val="36"/>
          <w:szCs w:val="36"/>
          <w:u w:val="single"/>
        </w:rPr>
      </w:pPr>
      <w:r>
        <w:rPr>
          <w:rFonts w:hint="eastAsia" w:hAnsi="宋体" w:cs="宋体"/>
          <w:b/>
          <w:sz w:val="36"/>
          <w:szCs w:val="36"/>
          <w:u w:val="single"/>
        </w:rPr>
        <w:t>容东片区C组团安置房及配套设施项目</w:t>
      </w:r>
    </w:p>
    <w:p>
      <w:pPr>
        <w:spacing w:before="120" w:after="120" w:line="360" w:lineRule="auto"/>
        <w:jc w:val="center"/>
        <w:rPr>
          <w:rFonts w:hAnsi="宋体" w:cs="宋体"/>
          <w:b/>
          <w:sz w:val="36"/>
          <w:szCs w:val="36"/>
          <w:u w:val="single"/>
        </w:rPr>
      </w:pPr>
      <w:r>
        <w:rPr>
          <w:rFonts w:hint="eastAsia" w:hAnsi="宋体" w:cs="宋体"/>
          <w:b/>
          <w:sz w:val="36"/>
          <w:szCs w:val="36"/>
          <w:u w:val="single"/>
        </w:rPr>
        <w:t>土方工程专业分包</w:t>
      </w:r>
      <w:r>
        <w:rPr>
          <w:rFonts w:hint="eastAsia" w:hAnsi="宋体" w:cs="宋体"/>
          <w:b/>
          <w:sz w:val="36"/>
          <w:szCs w:val="36"/>
        </w:rPr>
        <w:t>工程</w:t>
      </w:r>
    </w:p>
    <w:p>
      <w:pPr>
        <w:spacing w:before="120" w:after="120" w:line="360" w:lineRule="auto"/>
        <w:jc w:val="center"/>
        <w:rPr>
          <w:rFonts w:hAnsi="宋体" w:cs="宋体"/>
          <w:b/>
          <w:kern w:val="2"/>
          <w:sz w:val="72"/>
          <w:szCs w:val="72"/>
        </w:rPr>
      </w:pPr>
    </w:p>
    <w:p>
      <w:pPr>
        <w:spacing w:before="120" w:after="120" w:line="360" w:lineRule="auto"/>
        <w:jc w:val="center"/>
        <w:rPr>
          <w:rFonts w:hAnsi="宋体" w:cs="宋体"/>
          <w:b/>
          <w:kern w:val="2"/>
          <w:sz w:val="84"/>
          <w:szCs w:val="84"/>
        </w:rPr>
      </w:pPr>
      <w:r>
        <w:rPr>
          <w:rFonts w:hint="eastAsia" w:hAnsi="宋体" w:cs="宋体"/>
          <w:b/>
          <w:kern w:val="2"/>
          <w:sz w:val="84"/>
          <w:szCs w:val="84"/>
        </w:rPr>
        <w:t>招 标 文 件</w:t>
      </w:r>
    </w:p>
    <w:p>
      <w:pPr>
        <w:ind w:firstLine="1764" w:firstLineChars="630"/>
        <w:rPr>
          <w:rFonts w:hAnsi="宋体" w:cs="宋体"/>
          <w:kern w:val="2"/>
          <w:sz w:val="28"/>
        </w:rPr>
      </w:pPr>
    </w:p>
    <w:p>
      <w:pPr>
        <w:ind w:firstLine="1771" w:firstLineChars="630"/>
        <w:rPr>
          <w:rFonts w:hAnsi="宋体" w:cs="宋体"/>
          <w:b/>
          <w:kern w:val="2"/>
          <w:sz w:val="28"/>
          <w:szCs w:val="28"/>
        </w:rPr>
      </w:pPr>
    </w:p>
    <w:p>
      <w:pPr>
        <w:jc w:val="center"/>
        <w:rPr>
          <w:rFonts w:hAnsi="宋体" w:cs="宋体"/>
          <w:kern w:val="2"/>
          <w:sz w:val="24"/>
        </w:rPr>
      </w:pPr>
    </w:p>
    <w:p>
      <w:pPr>
        <w:jc w:val="center"/>
        <w:rPr>
          <w:rFonts w:hAnsi="宋体" w:cs="宋体"/>
          <w:kern w:val="2"/>
          <w:sz w:val="24"/>
        </w:rPr>
      </w:pPr>
    </w:p>
    <w:p>
      <w:pPr>
        <w:jc w:val="center"/>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adjustRightInd w:val="0"/>
        <w:snapToGrid w:val="0"/>
        <w:spacing w:line="600" w:lineRule="auto"/>
        <w:jc w:val="center"/>
        <w:rPr>
          <w:rFonts w:hAnsi="宋体" w:cs="宋体"/>
          <w:spacing w:val="12"/>
          <w:kern w:val="2"/>
          <w:sz w:val="28"/>
          <w:szCs w:val="28"/>
        </w:rPr>
      </w:pPr>
      <w:r>
        <w:rPr>
          <w:rFonts w:hint="eastAsia" w:hAnsi="宋体" w:cs="宋体"/>
          <w:spacing w:val="24"/>
          <w:kern w:val="2"/>
          <w:sz w:val="28"/>
          <w:szCs w:val="28"/>
        </w:rPr>
        <w:t>招标</w:t>
      </w:r>
      <w:r>
        <w:rPr>
          <w:rFonts w:hint="eastAsia" w:hAnsi="宋体" w:cs="宋体"/>
          <w:spacing w:val="12"/>
          <w:kern w:val="2"/>
          <w:sz w:val="28"/>
          <w:szCs w:val="28"/>
        </w:rPr>
        <w:t>人</w:t>
      </w:r>
      <w:r>
        <w:rPr>
          <w:rFonts w:hint="eastAsia" w:hAnsi="宋体" w:cs="宋体"/>
          <w:kern w:val="2"/>
          <w:sz w:val="28"/>
          <w:szCs w:val="28"/>
        </w:rPr>
        <w:t>：</w:t>
      </w:r>
      <w:r>
        <w:rPr>
          <w:rFonts w:hint="eastAsia" w:hAnsi="宋体" w:cs="宋体"/>
          <w:spacing w:val="12"/>
          <w:kern w:val="2"/>
          <w:sz w:val="28"/>
          <w:szCs w:val="28"/>
        </w:rPr>
        <w:t>河北建工集团有限责任公司</w:t>
      </w:r>
    </w:p>
    <w:p>
      <w:pPr>
        <w:widowControl/>
        <w:jc w:val="center"/>
        <w:rPr>
          <w:rFonts w:hAnsi="宋体" w:cs="宋体"/>
          <w:b/>
          <w:kern w:val="2"/>
          <w:sz w:val="32"/>
          <w:u w:val="single"/>
        </w:rPr>
      </w:pPr>
      <w:r>
        <w:rPr>
          <w:rFonts w:hint="eastAsia" w:hAnsi="宋体" w:cs="宋体"/>
          <w:spacing w:val="12"/>
          <w:kern w:val="2"/>
          <w:sz w:val="28"/>
          <w:szCs w:val="28"/>
        </w:rPr>
        <w:t>2020年6月</w:t>
      </w:r>
      <w:r>
        <w:rPr>
          <w:rFonts w:hAnsi="宋体" w:cs="宋体"/>
          <w:spacing w:val="12"/>
          <w:kern w:val="2"/>
          <w:sz w:val="28"/>
          <w:szCs w:val="28"/>
        </w:rPr>
        <w:t>2</w:t>
      </w:r>
      <w:r>
        <w:rPr>
          <w:rFonts w:hint="eastAsia" w:hAnsi="宋体" w:cs="宋体"/>
          <w:spacing w:val="12"/>
          <w:kern w:val="2"/>
          <w:sz w:val="28"/>
          <w:szCs w:val="28"/>
        </w:rPr>
        <w:t>8日</w:t>
      </w:r>
    </w:p>
    <w:p>
      <w:pPr>
        <w:pStyle w:val="2"/>
        <w:ind w:firstLine="528"/>
      </w:pPr>
      <w:r>
        <w:br w:type="page"/>
      </w:r>
    </w:p>
    <w:p>
      <w:pPr>
        <w:widowControl/>
        <w:jc w:val="left"/>
        <w:rPr>
          <w:rFonts w:hAnsi="宋体" w:cs="宋体"/>
          <w:b/>
          <w:sz w:val="52"/>
          <w:szCs w:val="52"/>
        </w:rPr>
      </w:pPr>
    </w:p>
    <w:p>
      <w:pPr>
        <w:jc w:val="center"/>
        <w:outlineLvl w:val="0"/>
        <w:rPr>
          <w:rFonts w:hAnsi="宋体" w:cs="宋体"/>
          <w:b/>
          <w:sz w:val="52"/>
          <w:szCs w:val="52"/>
        </w:rPr>
      </w:pPr>
      <w:r>
        <w:rPr>
          <w:rFonts w:hint="eastAsia" w:hAnsi="宋体" w:cs="宋体"/>
          <w:b/>
          <w:sz w:val="52"/>
          <w:szCs w:val="52"/>
        </w:rPr>
        <w:t>目    录</w:t>
      </w:r>
    </w:p>
    <w:p>
      <w:pPr>
        <w:rPr>
          <w:rFonts w:hAnsi="宋体" w:cs="宋体"/>
          <w:b/>
          <w:sz w:val="52"/>
          <w:szCs w:val="52"/>
        </w:rPr>
      </w:pPr>
    </w:p>
    <w:p>
      <w:pPr>
        <w:ind w:left="1183" w:leftChars="348"/>
        <w:rPr>
          <w:rFonts w:hAnsi="宋体" w:cs="宋体"/>
          <w:b/>
          <w:sz w:val="32"/>
          <w:szCs w:val="32"/>
        </w:rPr>
      </w:pPr>
      <w:r>
        <w:rPr>
          <w:rFonts w:hint="eastAsia" w:hAnsi="宋体" w:cs="宋体"/>
          <w:b/>
          <w:sz w:val="32"/>
          <w:szCs w:val="32"/>
        </w:rPr>
        <w:t>一、招标公告</w:t>
      </w:r>
    </w:p>
    <w:p>
      <w:pPr>
        <w:ind w:left="1183" w:leftChars="348"/>
        <w:rPr>
          <w:rFonts w:hAnsi="宋体" w:cs="宋体"/>
          <w:b/>
          <w:sz w:val="32"/>
          <w:szCs w:val="32"/>
        </w:rPr>
      </w:pPr>
    </w:p>
    <w:p>
      <w:pPr>
        <w:ind w:left="1183" w:leftChars="348"/>
        <w:rPr>
          <w:rFonts w:hAnsi="宋体" w:cs="宋体"/>
          <w:b/>
          <w:sz w:val="32"/>
          <w:szCs w:val="32"/>
        </w:rPr>
      </w:pPr>
      <w:r>
        <w:rPr>
          <w:rFonts w:hint="eastAsia" w:hAnsi="宋体" w:cs="宋体"/>
          <w:b/>
          <w:sz w:val="32"/>
          <w:szCs w:val="32"/>
        </w:rPr>
        <w:t>二、投标须知前附表</w:t>
      </w:r>
    </w:p>
    <w:p>
      <w:pPr>
        <w:ind w:left="1183" w:leftChars="348"/>
        <w:rPr>
          <w:rFonts w:hAnsi="宋体" w:cs="宋体"/>
          <w:b/>
          <w:sz w:val="32"/>
          <w:szCs w:val="32"/>
        </w:rPr>
      </w:pPr>
    </w:p>
    <w:p>
      <w:pPr>
        <w:ind w:left="1183" w:leftChars="348"/>
        <w:rPr>
          <w:rFonts w:hAnsi="宋体" w:cs="宋体"/>
          <w:b/>
          <w:sz w:val="32"/>
          <w:szCs w:val="32"/>
        </w:rPr>
      </w:pPr>
      <w:r>
        <w:rPr>
          <w:rFonts w:hint="eastAsia" w:hAnsi="宋体" w:cs="宋体"/>
          <w:b/>
          <w:sz w:val="32"/>
          <w:szCs w:val="32"/>
        </w:rPr>
        <w:t>三、投标须知</w:t>
      </w:r>
    </w:p>
    <w:p>
      <w:pPr>
        <w:ind w:left="1183" w:leftChars="348"/>
        <w:rPr>
          <w:rFonts w:hAnsi="宋体" w:cs="宋体"/>
          <w:b/>
          <w:sz w:val="32"/>
          <w:szCs w:val="32"/>
        </w:rPr>
      </w:pPr>
    </w:p>
    <w:p>
      <w:pPr>
        <w:ind w:left="1183" w:leftChars="348"/>
        <w:rPr>
          <w:rFonts w:hAnsi="宋体" w:cs="宋体"/>
          <w:b/>
          <w:sz w:val="32"/>
          <w:szCs w:val="32"/>
        </w:rPr>
      </w:pPr>
      <w:r>
        <w:rPr>
          <w:rFonts w:hint="eastAsia" w:hAnsi="宋体" w:cs="宋体"/>
          <w:b/>
          <w:sz w:val="32"/>
          <w:szCs w:val="32"/>
        </w:rPr>
        <w:t>四、技术要求</w:t>
      </w:r>
    </w:p>
    <w:p>
      <w:pPr>
        <w:ind w:left="1183" w:leftChars="348"/>
        <w:rPr>
          <w:rFonts w:hAnsi="宋体" w:cs="宋体"/>
          <w:b/>
          <w:sz w:val="32"/>
          <w:szCs w:val="32"/>
        </w:rPr>
      </w:pPr>
    </w:p>
    <w:p>
      <w:pPr>
        <w:ind w:left="1183" w:leftChars="348"/>
        <w:rPr>
          <w:rFonts w:hAnsi="宋体" w:cs="宋体"/>
          <w:b/>
          <w:sz w:val="32"/>
          <w:szCs w:val="32"/>
        </w:rPr>
      </w:pPr>
      <w:r>
        <w:rPr>
          <w:rFonts w:hint="eastAsia" w:hAnsi="宋体" w:cs="宋体"/>
          <w:b/>
          <w:sz w:val="32"/>
          <w:szCs w:val="32"/>
        </w:rPr>
        <w:t>五、主要合同条款</w:t>
      </w:r>
    </w:p>
    <w:p>
      <w:pPr>
        <w:ind w:left="1183" w:leftChars="348"/>
        <w:rPr>
          <w:rFonts w:hAnsi="宋体" w:cs="宋体"/>
          <w:b/>
          <w:sz w:val="32"/>
          <w:szCs w:val="32"/>
        </w:rPr>
      </w:pPr>
    </w:p>
    <w:p>
      <w:pPr>
        <w:ind w:left="1183" w:leftChars="348"/>
        <w:rPr>
          <w:rFonts w:hAnsi="宋体" w:cs="宋体"/>
          <w:b/>
          <w:sz w:val="32"/>
          <w:szCs w:val="32"/>
        </w:rPr>
      </w:pPr>
      <w:r>
        <w:rPr>
          <w:rFonts w:hint="eastAsia" w:hAnsi="宋体" w:cs="宋体"/>
          <w:b/>
          <w:sz w:val="32"/>
          <w:szCs w:val="32"/>
        </w:rPr>
        <w:t>六、投标文件格式</w:t>
      </w:r>
    </w:p>
    <w:p>
      <w:pPr>
        <w:widowControl/>
        <w:jc w:val="center"/>
        <w:outlineLvl w:val="0"/>
        <w:rPr>
          <w:rFonts w:ascii="楷体_GB2312" w:hAnsi="宋体" w:eastAsia="楷体_GB2312" w:cs="宋体"/>
        </w:rPr>
      </w:pPr>
      <w:r>
        <w:rPr>
          <w:rFonts w:hint="eastAsia" w:hAnsi="宋体" w:cs="宋体"/>
          <w:b/>
          <w:sz w:val="52"/>
          <w:szCs w:val="52"/>
        </w:rPr>
        <w:br w:type="page"/>
      </w:r>
      <w:r>
        <w:rPr>
          <w:rFonts w:hint="eastAsia" w:ascii="楷体_GB2312" w:hAnsi="宋体" w:eastAsia="楷体_GB2312" w:cs="宋体"/>
          <w:b/>
          <w:sz w:val="52"/>
          <w:szCs w:val="52"/>
        </w:rPr>
        <w:t>一、招标公告</w:t>
      </w:r>
    </w:p>
    <w:p>
      <w:pPr>
        <w:spacing w:line="360" w:lineRule="auto"/>
        <w:jc w:val="center"/>
        <w:rPr>
          <w:rFonts w:ascii="楷体_GB2312" w:hAnsi="宋体" w:eastAsia="楷体_GB2312" w:cs="宋体"/>
          <w:b/>
          <w:sz w:val="36"/>
          <w:szCs w:val="36"/>
        </w:rPr>
      </w:pPr>
      <w:bookmarkStart w:id="0" w:name="_Hlk44159620"/>
      <w:r>
        <w:rPr>
          <w:rFonts w:hint="eastAsia" w:ascii="楷体_GB2312" w:hAnsi="宋体" w:eastAsia="楷体_GB2312" w:cs="宋体"/>
          <w:b/>
          <w:sz w:val="36"/>
          <w:szCs w:val="36"/>
        </w:rPr>
        <w:t>容东片区C组团安置房及配套设施项目</w:t>
      </w:r>
    </w:p>
    <w:p>
      <w:pPr>
        <w:spacing w:line="360" w:lineRule="auto"/>
        <w:jc w:val="center"/>
        <w:rPr>
          <w:rFonts w:ascii="楷体_GB2312" w:hAnsi="宋体" w:eastAsia="楷体_GB2312" w:cs="宋体"/>
          <w:b/>
          <w:sz w:val="36"/>
          <w:szCs w:val="36"/>
        </w:rPr>
      </w:pPr>
      <w:r>
        <w:rPr>
          <w:rFonts w:hint="eastAsia" w:ascii="楷体_GB2312" w:hAnsi="宋体" w:eastAsia="楷体_GB2312" w:cs="宋体"/>
          <w:b/>
          <w:sz w:val="36"/>
          <w:szCs w:val="36"/>
        </w:rPr>
        <w:t>土方工程专业分包招标</w:t>
      </w:r>
      <w:bookmarkEnd w:id="0"/>
      <w:r>
        <w:rPr>
          <w:rFonts w:hint="eastAsia" w:ascii="楷体_GB2312" w:hAnsi="宋体" w:eastAsia="楷体_GB2312" w:cs="宋体"/>
          <w:b/>
          <w:sz w:val="36"/>
          <w:szCs w:val="36"/>
        </w:rPr>
        <w:t>公告</w:t>
      </w:r>
    </w:p>
    <w:p>
      <w:pPr>
        <w:pStyle w:val="33"/>
        <w:spacing w:before="0" w:beforeAutospacing="0" w:after="0" w:afterAutospacing="0" w:line="480" w:lineRule="exact"/>
        <w:ind w:firstLine="560" w:firstLineChars="200"/>
        <w:jc w:val="both"/>
        <w:rPr>
          <w:rFonts w:ascii="楷体_GB2312" w:eastAsia="楷体_GB2312"/>
          <w:sz w:val="28"/>
          <w:szCs w:val="28"/>
        </w:rPr>
      </w:pPr>
      <w:r>
        <w:rPr>
          <w:rFonts w:hint="eastAsia" w:ascii="楷体_GB2312" w:eastAsia="楷体_GB2312"/>
          <w:sz w:val="28"/>
          <w:szCs w:val="28"/>
          <w:u w:val="single"/>
        </w:rPr>
        <w:t>河北建工集团有限责任公司</w:t>
      </w:r>
      <w:r>
        <w:rPr>
          <w:rFonts w:hint="eastAsia" w:ascii="楷体_GB2312" w:eastAsia="楷体_GB2312"/>
          <w:sz w:val="28"/>
          <w:szCs w:val="28"/>
        </w:rPr>
        <w:t>现对</w:t>
      </w:r>
      <w:r>
        <w:rPr>
          <w:rFonts w:hint="eastAsia" w:ascii="楷体_GB2312" w:eastAsia="楷体_GB2312"/>
          <w:sz w:val="28"/>
          <w:szCs w:val="28"/>
          <w:u w:val="single"/>
        </w:rPr>
        <w:t>容东片区C组团安置房及配套设施项目土方工程专业分包</w:t>
      </w:r>
      <w:r>
        <w:rPr>
          <w:rFonts w:hint="eastAsia" w:ascii="楷体_GB2312" w:eastAsia="楷体_GB2312"/>
          <w:sz w:val="28"/>
          <w:szCs w:val="28"/>
        </w:rPr>
        <w:t>进行招标，欢迎符合条件的承包人参加投标。现将有关招标事项公告如下：</w:t>
      </w:r>
    </w:p>
    <w:p>
      <w:pPr>
        <w:widowControl/>
        <w:spacing w:line="480" w:lineRule="exact"/>
        <w:ind w:firstLine="562" w:firstLineChars="200"/>
        <w:rPr>
          <w:rFonts w:ascii="楷体_GB2312" w:hAnsi="宋体" w:eastAsia="楷体_GB2312" w:cs="宋体"/>
          <w:sz w:val="28"/>
          <w:szCs w:val="28"/>
        </w:rPr>
      </w:pPr>
      <w:r>
        <w:rPr>
          <w:rFonts w:hint="eastAsia" w:ascii="楷体_GB2312" w:hAnsi="宋体" w:eastAsia="楷体_GB2312" w:cs="宋体"/>
          <w:b/>
          <w:bCs/>
          <w:sz w:val="28"/>
          <w:szCs w:val="28"/>
        </w:rPr>
        <w:t>1、工程名称：</w:t>
      </w:r>
      <w:r>
        <w:rPr>
          <w:rFonts w:hint="eastAsia" w:ascii="楷体_GB2312" w:hAnsi="宋体" w:eastAsia="楷体_GB2312" w:cs="宋体"/>
          <w:sz w:val="28"/>
          <w:szCs w:val="28"/>
        </w:rPr>
        <w:t>容东片区C组团安置房及配套设施项目</w:t>
      </w:r>
    </w:p>
    <w:p>
      <w:pPr>
        <w:widowControl/>
        <w:spacing w:line="480" w:lineRule="exact"/>
        <w:ind w:firstLine="562" w:firstLineChars="200"/>
        <w:rPr>
          <w:rFonts w:ascii="楷体_GB2312" w:hAnsi="宋体" w:eastAsia="楷体_GB2312" w:cs="宋体"/>
          <w:sz w:val="28"/>
          <w:szCs w:val="28"/>
        </w:rPr>
      </w:pPr>
      <w:r>
        <w:rPr>
          <w:rFonts w:hint="eastAsia" w:ascii="楷体_GB2312" w:hAnsi="宋体" w:eastAsia="楷体_GB2312" w:cs="宋体"/>
          <w:b/>
          <w:bCs/>
          <w:sz w:val="28"/>
          <w:szCs w:val="28"/>
        </w:rPr>
        <w:t>2、工程地点：</w:t>
      </w:r>
      <w:r>
        <w:rPr>
          <w:rFonts w:hint="eastAsia" w:ascii="楷体_GB2312" w:hAnsi="宋体" w:eastAsia="楷体_GB2312" w:cs="宋体"/>
          <w:sz w:val="28"/>
          <w:szCs w:val="28"/>
        </w:rPr>
        <w:t>雄安新区容东片区（河北省保定市容城县），容城南至S333路，西至N2路，北至津保铁路，东至N18路。</w:t>
      </w:r>
    </w:p>
    <w:p>
      <w:pPr>
        <w:pStyle w:val="73"/>
        <w:adjustRightInd w:val="0"/>
        <w:spacing w:line="480" w:lineRule="exact"/>
        <w:ind w:firstLine="560"/>
        <w:rPr>
          <w:rFonts w:ascii="楷体_GB2312" w:hAnsi="宋体" w:eastAsia="楷体_GB2312" w:cs="宋体"/>
          <w:sz w:val="28"/>
          <w:szCs w:val="28"/>
          <w:u w:val="single"/>
        </w:rPr>
      </w:pPr>
      <w:r>
        <w:rPr>
          <w:rFonts w:hint="eastAsia" w:ascii="楷体_GB2312" w:hAnsi="宋体" w:eastAsia="楷体_GB2312" w:cs="宋体"/>
          <w:b/>
          <w:bCs/>
          <w:sz w:val="28"/>
          <w:szCs w:val="28"/>
        </w:rPr>
        <w:t>3、工程概况：</w:t>
      </w:r>
      <w:r>
        <w:rPr>
          <w:rFonts w:hint="eastAsia" w:ascii="楷体_GB2312" w:hAnsi="宋体" w:eastAsia="楷体_GB2312" w:cs="宋体"/>
          <w:sz w:val="28"/>
          <w:szCs w:val="28"/>
        </w:rPr>
        <w:t>总建筑面积约40万平米，基底面积约1</w:t>
      </w:r>
      <w:r>
        <w:rPr>
          <w:rFonts w:ascii="楷体_GB2312" w:hAnsi="宋体" w:eastAsia="楷体_GB2312" w:cs="宋体"/>
          <w:sz w:val="28"/>
          <w:szCs w:val="28"/>
        </w:rPr>
        <w:t>1</w:t>
      </w:r>
      <w:r>
        <w:rPr>
          <w:rFonts w:hint="eastAsia" w:ascii="楷体_GB2312" w:hAnsi="宋体" w:eastAsia="楷体_GB2312" w:cs="宋体"/>
          <w:sz w:val="28"/>
          <w:szCs w:val="28"/>
        </w:rPr>
        <w:t>万平方米，包括43栋住宅1所幼儿园楼，地上 2-15 层,地下2层。基础底标高约-8.1</w:t>
      </w:r>
      <w:r>
        <w:rPr>
          <w:rFonts w:hint="eastAsia" w:hAnsi="宋体" w:cs="宋体"/>
          <w:sz w:val="28"/>
          <w:szCs w:val="28"/>
        </w:rPr>
        <w:t>~</w:t>
      </w:r>
      <w:r>
        <w:rPr>
          <w:rFonts w:hint="eastAsia" w:ascii="楷体_GB2312" w:hAnsi="宋体" w:eastAsia="楷体_GB2312" w:cs="宋体"/>
          <w:sz w:val="28"/>
          <w:szCs w:val="28"/>
        </w:rPr>
        <w:t>-8.5米。包含地下车库、住宅、公服、商业、幼儿园。结构体系：筏板基础、下柱墩，钢筋混凝土框架剪力墙结构。</w:t>
      </w:r>
      <w:r>
        <w:rPr>
          <w:rFonts w:hint="eastAsia" w:ascii="楷体_GB2312" w:hAnsi="宋体" w:eastAsia="楷体_GB2312" w:cs="宋体"/>
          <w:b/>
          <w:bCs/>
          <w:sz w:val="28"/>
          <w:szCs w:val="28"/>
          <w:u w:val="single"/>
        </w:rPr>
        <w:t>基坑的大开挖、放坡、护坡已完成，主楼下桩头、桩间土已基本清理完毕。</w:t>
      </w:r>
    </w:p>
    <w:p>
      <w:pPr>
        <w:spacing w:line="480" w:lineRule="exact"/>
        <w:ind w:firstLine="562" w:firstLineChars="200"/>
        <w:rPr>
          <w:rFonts w:ascii="楷体_GB2312" w:hAnsi="宋体" w:eastAsia="楷体_GB2312" w:cs="宋体"/>
          <w:b/>
          <w:bCs/>
          <w:sz w:val="28"/>
          <w:szCs w:val="28"/>
        </w:rPr>
      </w:pPr>
      <w:r>
        <w:rPr>
          <w:rFonts w:hint="eastAsia" w:ascii="楷体_GB2312" w:hAnsi="宋体" w:eastAsia="楷体_GB2312" w:cs="宋体"/>
          <w:b/>
          <w:bCs/>
          <w:sz w:val="28"/>
          <w:szCs w:val="28"/>
        </w:rPr>
        <w:t>4、招标范围：</w:t>
      </w:r>
      <w:bookmarkStart w:id="1" w:name="OLE_LINK3"/>
    </w:p>
    <w:p>
      <w:pPr>
        <w:spacing w:line="480" w:lineRule="exact"/>
        <w:ind w:firstLine="560" w:firstLineChars="200"/>
        <w:rPr>
          <w:rFonts w:ascii="楷体_GB2312" w:hAnsi="宋体" w:eastAsia="楷体_GB2312" w:cs="宋体"/>
          <w:sz w:val="28"/>
          <w:szCs w:val="28"/>
          <w:u w:val="single"/>
        </w:rPr>
      </w:pPr>
      <w:r>
        <w:rPr>
          <w:rFonts w:hint="eastAsia" w:ascii="楷体_GB2312" w:hAnsi="宋体" w:eastAsia="楷体_GB2312" w:cs="宋体"/>
          <w:sz w:val="28"/>
          <w:szCs w:val="28"/>
          <w:u w:val="single"/>
        </w:rPr>
        <w:t>（1）现场及图纸范围内场地平整、捡底清槽、土方开挖、余方弃置、外购土方回填（含借土场取土费用、购土费用）、原土回填、灰土回填、边坡清理修整、修检边、捡底、下柱墩、电梯井、集水坑及其他零星挖土的挖方配合其他施工、挖填土过程中的各种垫路、坡道的修筑及撤除等工作（包含现场开挖运输过程中所有建筑、生活垃圾及其他一切影响物的开挖外运工作，塔吊基础及临时道路、地面的破碎外运）。</w:t>
      </w:r>
    </w:p>
    <w:p>
      <w:pPr>
        <w:spacing w:line="480" w:lineRule="exact"/>
        <w:ind w:firstLine="560" w:firstLineChars="200"/>
        <w:rPr>
          <w:rFonts w:ascii="楷体_GB2312" w:hAnsi="宋体" w:eastAsia="楷体_GB2312" w:cs="宋体"/>
          <w:sz w:val="28"/>
          <w:szCs w:val="28"/>
          <w:u w:val="single"/>
        </w:rPr>
      </w:pPr>
      <w:r>
        <w:rPr>
          <w:rFonts w:hint="eastAsia" w:ascii="楷体_GB2312" w:hAnsi="宋体" w:eastAsia="楷体_GB2312" w:cs="宋体"/>
          <w:sz w:val="28"/>
          <w:szCs w:val="28"/>
          <w:u w:val="single"/>
        </w:rPr>
        <w:t>（2）投标人负责承包范围内及通行道路上的清理、打扫、洒水及施工现场的扬尘治理（水管、水龙带、洒水车及雾炮机等全部相关物品由投标人自行提供，必须符合雄安标准、规范和相应文件要求），总之一切与文明施工有关的内容均包含在承包范围内。</w:t>
      </w:r>
    </w:p>
    <w:p>
      <w:pPr>
        <w:spacing w:line="480" w:lineRule="exact"/>
        <w:ind w:firstLine="560" w:firstLineChars="200"/>
        <w:rPr>
          <w:rFonts w:ascii="楷体_GB2312" w:hAnsi="宋体" w:eastAsia="楷体_GB2312" w:cs="宋体"/>
          <w:sz w:val="28"/>
          <w:szCs w:val="28"/>
          <w:u w:val="single"/>
        </w:rPr>
      </w:pPr>
      <w:r>
        <w:rPr>
          <w:rFonts w:hint="eastAsia" w:ascii="楷体_GB2312" w:hAnsi="宋体" w:eastAsia="楷体_GB2312" w:cs="宋体"/>
          <w:sz w:val="28"/>
          <w:szCs w:val="28"/>
          <w:u w:val="single"/>
        </w:rPr>
        <w:t>（3）含地下室外墙保温，60mm厚挤塑聚苯板保温，主要材料由招标人提供，施工机械、器具及辅材投标人自行考虑。</w:t>
      </w:r>
    </w:p>
    <w:p>
      <w:pPr>
        <w:widowControl/>
        <w:spacing w:line="480" w:lineRule="exact"/>
        <w:ind w:firstLine="562" w:firstLineChars="200"/>
        <w:rPr>
          <w:rFonts w:ascii="楷体_GB2312" w:hAnsi="宋体" w:eastAsia="楷体_GB2312" w:cs="宋体"/>
          <w:sz w:val="28"/>
          <w:szCs w:val="28"/>
          <w:u w:val="single"/>
        </w:rPr>
      </w:pPr>
      <w:r>
        <w:rPr>
          <w:rFonts w:hint="eastAsia" w:ascii="楷体_GB2312" w:hAnsi="宋体" w:eastAsia="楷体_GB2312" w:cs="宋体"/>
          <w:b/>
          <w:bCs/>
          <w:sz w:val="28"/>
          <w:szCs w:val="28"/>
        </w:rPr>
        <w:t>5、招标方式：</w:t>
      </w:r>
      <w:r>
        <w:rPr>
          <w:rFonts w:hint="eastAsia" w:ascii="楷体_GB2312" w:hAnsi="宋体" w:eastAsia="楷体_GB2312" w:cs="宋体"/>
          <w:sz w:val="28"/>
          <w:szCs w:val="28"/>
        </w:rPr>
        <w:t>专业分包，本工程投标先在中采网招标平台上进行网上报价竞标，先招后议。</w:t>
      </w:r>
    </w:p>
    <w:p>
      <w:pPr>
        <w:pStyle w:val="2"/>
        <w:spacing w:line="480" w:lineRule="exact"/>
        <w:ind w:left="0" w:firstLine="560"/>
        <w:rPr>
          <w:rFonts w:ascii="楷体_GB2312" w:hAnsi="宋体" w:eastAsia="楷体_GB2312" w:cs="宋体"/>
          <w:spacing w:val="0"/>
          <w:sz w:val="28"/>
          <w:szCs w:val="28"/>
        </w:rPr>
      </w:pPr>
      <w:r>
        <w:rPr>
          <w:rFonts w:hint="eastAsia" w:ascii="楷体_GB2312" w:hAnsi="宋体" w:eastAsia="楷体_GB2312" w:cs="宋体"/>
          <w:b/>
          <w:bCs/>
          <w:spacing w:val="0"/>
          <w:sz w:val="28"/>
          <w:szCs w:val="28"/>
        </w:rPr>
        <w:t>6、标段划分：</w:t>
      </w:r>
      <w:r>
        <w:rPr>
          <w:rFonts w:hint="eastAsia" w:ascii="楷体_GB2312" w:hAnsi="宋体" w:eastAsia="楷体_GB2312" w:cs="宋体"/>
          <w:spacing w:val="0"/>
          <w:sz w:val="28"/>
          <w:szCs w:val="28"/>
        </w:rPr>
        <w:t>整体划分为1-2个标段，选择 1-2个中标人（标段划分以招标人规定为准，不承诺平均划分标段）。</w:t>
      </w:r>
    </w:p>
    <w:bookmarkEnd w:id="1"/>
    <w:p>
      <w:pPr>
        <w:widowControl/>
        <w:spacing w:line="480" w:lineRule="exact"/>
        <w:ind w:firstLine="562" w:firstLineChars="200"/>
        <w:rPr>
          <w:rFonts w:ascii="楷体_GB2312" w:hAnsi="宋体" w:eastAsia="楷体_GB2312" w:cs="宋体"/>
          <w:b/>
          <w:bCs/>
          <w:sz w:val="28"/>
          <w:szCs w:val="28"/>
        </w:rPr>
      </w:pPr>
      <w:r>
        <w:rPr>
          <w:rFonts w:hint="eastAsia" w:ascii="楷体_GB2312" w:hAnsi="宋体" w:eastAsia="楷体_GB2312" w:cs="宋体"/>
          <w:b/>
          <w:bCs/>
          <w:sz w:val="28"/>
          <w:szCs w:val="28"/>
        </w:rPr>
        <w:t>7、计划工期：</w:t>
      </w:r>
      <w:r>
        <w:rPr>
          <w:rFonts w:hint="eastAsia" w:ascii="楷体_GB2312" w:hAnsi="宋体" w:eastAsia="楷体_GB2312" w:cs="宋体"/>
          <w:sz w:val="28"/>
          <w:szCs w:val="28"/>
        </w:rPr>
        <w:t>进场时间以招标人通知为准，具体施工节点由招标人制定（需要符合招标人施工进度计划整体安排）。</w:t>
      </w:r>
    </w:p>
    <w:p>
      <w:pPr>
        <w:widowControl/>
        <w:spacing w:line="480" w:lineRule="exact"/>
        <w:ind w:firstLine="562" w:firstLineChars="200"/>
        <w:rPr>
          <w:rFonts w:ascii="楷体_GB2312" w:hAnsi="宋体" w:eastAsia="楷体_GB2312" w:cs="宋体"/>
          <w:sz w:val="28"/>
          <w:szCs w:val="28"/>
        </w:rPr>
      </w:pPr>
      <w:r>
        <w:rPr>
          <w:rFonts w:hint="eastAsia" w:ascii="楷体_GB2312" w:hAnsi="宋体" w:eastAsia="楷体_GB2312" w:cs="宋体"/>
          <w:b/>
          <w:bCs/>
          <w:sz w:val="28"/>
          <w:szCs w:val="28"/>
        </w:rPr>
        <w:t>8、质量标准：</w:t>
      </w:r>
      <w:r>
        <w:rPr>
          <w:rFonts w:hint="eastAsia" w:ascii="楷体_GB2312" w:hAnsi="宋体" w:eastAsia="楷体_GB2312" w:cs="宋体"/>
          <w:sz w:val="28"/>
          <w:szCs w:val="28"/>
        </w:rPr>
        <w:t>省结构优质工程、省优（安济杯）。</w:t>
      </w:r>
    </w:p>
    <w:p>
      <w:pPr>
        <w:widowControl/>
        <w:tabs>
          <w:tab w:val="left" w:pos="5336"/>
        </w:tabs>
        <w:spacing w:line="480" w:lineRule="exact"/>
        <w:ind w:firstLine="562" w:firstLineChars="200"/>
        <w:rPr>
          <w:rFonts w:ascii="楷体_GB2312" w:hAnsi="宋体" w:eastAsia="楷体_GB2312" w:cs="宋体"/>
          <w:sz w:val="28"/>
          <w:szCs w:val="28"/>
        </w:rPr>
      </w:pPr>
      <w:r>
        <w:rPr>
          <w:rFonts w:hint="eastAsia" w:ascii="楷体_GB2312" w:hAnsi="宋体" w:eastAsia="楷体_GB2312" w:cs="宋体"/>
          <w:b/>
          <w:bCs/>
          <w:sz w:val="28"/>
          <w:szCs w:val="28"/>
        </w:rPr>
        <w:t>9、文明施工标准：</w:t>
      </w:r>
      <w:r>
        <w:rPr>
          <w:rFonts w:hint="eastAsia" w:ascii="楷体_GB2312" w:hAnsi="宋体" w:eastAsia="楷体_GB2312" w:cs="宋体"/>
          <w:sz w:val="28"/>
          <w:szCs w:val="28"/>
        </w:rPr>
        <w:t>省级安全文明工地。</w:t>
      </w:r>
    </w:p>
    <w:p>
      <w:pPr>
        <w:widowControl/>
        <w:spacing w:line="480" w:lineRule="exact"/>
        <w:ind w:firstLine="562" w:firstLineChars="200"/>
        <w:rPr>
          <w:rFonts w:ascii="楷体_GB2312" w:hAnsi="宋体" w:eastAsia="楷体_GB2312" w:cs="宋体"/>
          <w:b/>
          <w:bCs/>
          <w:sz w:val="28"/>
          <w:szCs w:val="28"/>
        </w:rPr>
      </w:pPr>
      <w:r>
        <w:rPr>
          <w:rFonts w:hint="eastAsia" w:ascii="楷体_GB2312" w:hAnsi="宋体" w:eastAsia="楷体_GB2312" w:cs="宋体"/>
          <w:b/>
          <w:bCs/>
          <w:sz w:val="28"/>
          <w:szCs w:val="28"/>
        </w:rPr>
        <w:t>10、投标单位资格要求：</w:t>
      </w:r>
    </w:p>
    <w:p>
      <w:pPr>
        <w:widowControl/>
        <w:spacing w:line="480" w:lineRule="exact"/>
        <w:ind w:firstLine="608" w:firstLineChars="200"/>
        <w:rPr>
          <w:rFonts w:ascii="楷体_GB2312" w:hAnsi="宋体" w:eastAsia="楷体_GB2312" w:cs="宋体"/>
          <w:spacing w:val="12"/>
          <w:sz w:val="28"/>
          <w:szCs w:val="28"/>
        </w:rPr>
      </w:pPr>
      <w:r>
        <w:rPr>
          <w:rFonts w:hint="eastAsia" w:ascii="楷体_GB2312" w:hAnsi="宋体" w:eastAsia="楷体_GB2312" w:cs="宋体"/>
          <w:spacing w:val="12"/>
          <w:sz w:val="28"/>
          <w:szCs w:val="28"/>
        </w:rPr>
        <w:t>（1）投标人具有独立法人资格，持有工商管理部门核发的法人营业执照（经营范围必须包含土方施工相关内容）。</w:t>
      </w:r>
    </w:p>
    <w:p>
      <w:pPr>
        <w:widowControl/>
        <w:spacing w:line="480" w:lineRule="exact"/>
        <w:ind w:firstLine="608" w:firstLineChars="200"/>
        <w:rPr>
          <w:rFonts w:ascii="楷体_GB2312" w:hAnsi="宋体" w:eastAsia="楷体_GB2312" w:cs="宋体"/>
          <w:spacing w:val="12"/>
          <w:sz w:val="28"/>
          <w:szCs w:val="28"/>
        </w:rPr>
      </w:pPr>
      <w:r>
        <w:rPr>
          <w:rFonts w:hint="eastAsia" w:ascii="楷体_GB2312" w:hAnsi="宋体" w:eastAsia="楷体_GB2312" w:cs="宋体"/>
          <w:spacing w:val="12"/>
          <w:sz w:val="28"/>
          <w:szCs w:val="28"/>
        </w:rPr>
        <w:t>（2）具备税务部门登记的一般纳税人资格。</w:t>
      </w:r>
    </w:p>
    <w:p>
      <w:pPr>
        <w:widowControl/>
        <w:spacing w:line="480" w:lineRule="exact"/>
        <w:ind w:firstLine="608" w:firstLineChars="200"/>
        <w:rPr>
          <w:rFonts w:ascii="楷体_GB2312" w:hAnsi="宋体" w:eastAsia="楷体_GB2312" w:cs="宋体"/>
          <w:spacing w:val="12"/>
          <w:sz w:val="28"/>
          <w:szCs w:val="28"/>
        </w:rPr>
      </w:pPr>
      <w:r>
        <w:rPr>
          <w:rFonts w:hint="eastAsia" w:ascii="楷体_GB2312" w:hAnsi="宋体" w:eastAsia="楷体_GB2312" w:cs="宋体"/>
          <w:spacing w:val="12"/>
          <w:sz w:val="28"/>
          <w:szCs w:val="28"/>
        </w:rPr>
        <w:t>（3）具有国家、省、市、雄安新区相关部门要求的渣土清运、土石方作业资格。</w:t>
      </w:r>
    </w:p>
    <w:p>
      <w:pPr>
        <w:widowControl/>
        <w:spacing w:line="480" w:lineRule="exact"/>
        <w:ind w:firstLine="608" w:firstLineChars="200"/>
        <w:rPr>
          <w:rFonts w:ascii="楷体_GB2312" w:hAnsi="宋体" w:eastAsia="楷体_GB2312" w:cs="宋体"/>
          <w:spacing w:val="12"/>
          <w:sz w:val="28"/>
          <w:szCs w:val="28"/>
        </w:rPr>
      </w:pPr>
      <w:r>
        <w:rPr>
          <w:rFonts w:hint="eastAsia" w:ascii="楷体_GB2312" w:hAnsi="宋体" w:eastAsia="楷体_GB2312" w:cs="宋体"/>
          <w:spacing w:val="12"/>
          <w:sz w:val="28"/>
          <w:szCs w:val="28"/>
        </w:rPr>
        <w:t>（4）具有良好的商业信誉，必须具有土方工程专业承包所必需的设备、专业技术能力、对外协调能力及资金实力。</w:t>
      </w:r>
    </w:p>
    <w:p>
      <w:pPr>
        <w:pStyle w:val="2"/>
        <w:spacing w:line="480" w:lineRule="exact"/>
        <w:ind w:left="0" w:firstLine="608"/>
        <w:rPr>
          <w:rFonts w:ascii="楷体_GB2312" w:eastAsia="楷体_GB2312"/>
          <w:sz w:val="28"/>
          <w:szCs w:val="28"/>
        </w:rPr>
      </w:pPr>
      <w:r>
        <w:rPr>
          <w:rFonts w:hint="eastAsia" w:ascii="楷体_GB2312" w:eastAsia="楷体_GB2312"/>
          <w:sz w:val="28"/>
          <w:szCs w:val="28"/>
        </w:rPr>
        <w:t>（5）投标人所提供车辆需满足雄安新区使用规定、标准。</w:t>
      </w:r>
    </w:p>
    <w:p>
      <w:pPr>
        <w:widowControl/>
        <w:spacing w:line="480" w:lineRule="exact"/>
        <w:ind w:firstLine="480"/>
        <w:rPr>
          <w:rFonts w:ascii="楷体_GB2312" w:hAnsi="宋体" w:eastAsia="楷体_GB2312" w:cs="宋体"/>
          <w:b/>
          <w:bCs/>
          <w:sz w:val="28"/>
          <w:szCs w:val="28"/>
        </w:rPr>
      </w:pPr>
      <w:r>
        <w:rPr>
          <w:rFonts w:hint="eastAsia" w:ascii="楷体_GB2312" w:hAnsi="宋体" w:eastAsia="楷体_GB2312" w:cs="宋体"/>
          <w:b/>
          <w:bCs/>
          <w:sz w:val="28"/>
          <w:szCs w:val="28"/>
        </w:rPr>
        <w:t>11、报名及资格预审</w:t>
      </w:r>
    </w:p>
    <w:p>
      <w:pPr>
        <w:widowControl/>
        <w:spacing w:line="480" w:lineRule="exact"/>
        <w:ind w:firstLine="480"/>
        <w:rPr>
          <w:rFonts w:ascii="楷体_GB2312" w:hAnsi="宋体" w:eastAsia="楷体_GB2312" w:cs="宋体"/>
          <w:sz w:val="28"/>
          <w:szCs w:val="28"/>
        </w:rPr>
      </w:pPr>
      <w:r>
        <w:rPr>
          <w:rFonts w:hint="eastAsia" w:ascii="楷体_GB2312" w:hAnsi="宋体" w:eastAsia="楷体_GB2312" w:cs="宋体"/>
          <w:sz w:val="28"/>
          <w:szCs w:val="28"/>
        </w:rPr>
        <w:t xml:space="preserve">报名时间：2020年 6月 28 日7:00-2020年 7月 </w:t>
      </w:r>
      <w:r>
        <w:rPr>
          <w:rFonts w:hint="eastAsia" w:ascii="楷体_GB2312" w:hAnsi="宋体" w:eastAsia="楷体_GB2312" w:cs="宋体"/>
          <w:sz w:val="28"/>
          <w:szCs w:val="28"/>
          <w:lang w:val="en-US" w:eastAsia="zh-CN"/>
        </w:rPr>
        <w:t>3</w:t>
      </w:r>
      <w:r>
        <w:rPr>
          <w:rFonts w:hint="eastAsia" w:ascii="楷体_GB2312" w:hAnsi="宋体" w:eastAsia="楷体_GB2312" w:cs="宋体"/>
          <w:sz w:val="28"/>
          <w:szCs w:val="28"/>
        </w:rPr>
        <w:t xml:space="preserve"> 日18：00，期间同时进行资格预审。</w:t>
      </w:r>
    </w:p>
    <w:p>
      <w:pPr>
        <w:widowControl/>
        <w:spacing w:line="480" w:lineRule="exact"/>
        <w:ind w:firstLine="480"/>
        <w:rPr>
          <w:rFonts w:ascii="楷体_GB2312" w:hAnsi="宋体" w:eastAsia="楷体_GB2312" w:cs="宋体"/>
          <w:sz w:val="28"/>
          <w:szCs w:val="28"/>
        </w:rPr>
      </w:pPr>
      <w:r>
        <w:rPr>
          <w:rFonts w:hint="eastAsia" w:ascii="楷体_GB2312" w:hAnsi="宋体" w:eastAsia="楷体_GB2312" w:cs="宋体"/>
          <w:sz w:val="28"/>
          <w:szCs w:val="28"/>
        </w:rPr>
        <w:t>开标时间：2020年7月</w:t>
      </w:r>
      <w:r>
        <w:rPr>
          <w:rFonts w:hint="eastAsia" w:ascii="楷体_GB2312" w:hAnsi="宋体" w:eastAsia="楷体_GB2312" w:cs="宋体"/>
          <w:sz w:val="28"/>
          <w:szCs w:val="28"/>
          <w:lang w:val="en-US" w:eastAsia="zh-CN"/>
        </w:rPr>
        <w:t>4</w:t>
      </w:r>
      <w:r>
        <w:rPr>
          <w:rFonts w:hint="eastAsia" w:ascii="楷体_GB2312" w:hAnsi="宋体" w:eastAsia="楷体_GB2312" w:cs="宋体"/>
          <w:sz w:val="28"/>
          <w:szCs w:val="28"/>
        </w:rPr>
        <w:t>日10:00-11:30</w:t>
      </w:r>
    </w:p>
    <w:p>
      <w:pPr>
        <w:widowControl/>
        <w:spacing w:line="480" w:lineRule="exact"/>
        <w:ind w:firstLine="480"/>
        <w:rPr>
          <w:rFonts w:ascii="楷体_GB2312" w:hAnsi="宋体" w:eastAsia="楷体_GB2312" w:cs="宋体"/>
          <w:sz w:val="28"/>
          <w:szCs w:val="28"/>
        </w:rPr>
      </w:pPr>
      <w:r>
        <w:rPr>
          <w:rFonts w:hint="eastAsia" w:ascii="楷体_GB2312" w:hAnsi="宋体" w:eastAsia="楷体_GB2312" w:cs="宋体"/>
          <w:sz w:val="28"/>
          <w:szCs w:val="28"/>
        </w:rPr>
        <w:t>报名地点：河北省保定市容城县容城镇茂丰假日酒店三层河北建工集团。</w:t>
      </w:r>
    </w:p>
    <w:p>
      <w:pPr>
        <w:widowControl/>
        <w:spacing w:line="480" w:lineRule="exact"/>
        <w:ind w:firstLine="480"/>
        <w:rPr>
          <w:rFonts w:ascii="楷体_GB2312" w:hAnsi="宋体" w:eastAsia="楷体_GB2312" w:cs="宋体"/>
          <w:sz w:val="28"/>
          <w:szCs w:val="28"/>
        </w:rPr>
      </w:pPr>
      <w:r>
        <w:rPr>
          <w:rFonts w:hint="eastAsia" w:ascii="楷体_GB2312" w:hAnsi="宋体" w:eastAsia="楷体_GB2312" w:cs="宋体"/>
          <w:sz w:val="28"/>
          <w:szCs w:val="28"/>
        </w:rPr>
        <w:t>投标人报名时，需向项目部提交资格预审资料：法定代表人身份证明书（原件）、法定代表人授权委托书（原件）、营业执照（原件）、业绩表（原件）等相关文件，营业执照及业绩留存加盖公章复印件，其余留存原件。如有必要则对投标报名单位进行考察。</w:t>
      </w:r>
    </w:p>
    <w:p>
      <w:pPr>
        <w:pStyle w:val="2"/>
        <w:spacing w:line="480" w:lineRule="exact"/>
        <w:ind w:left="0" w:firstLine="608"/>
        <w:rPr>
          <w:rFonts w:ascii="楷体_GB2312" w:eastAsia="楷体_GB2312"/>
          <w:sz w:val="28"/>
          <w:szCs w:val="28"/>
        </w:rPr>
      </w:pPr>
      <w:r>
        <w:rPr>
          <w:rFonts w:hint="eastAsia" w:ascii="楷体_GB2312" w:eastAsia="楷体_GB2312"/>
          <w:sz w:val="28"/>
          <w:szCs w:val="28"/>
        </w:rPr>
        <w:t>招标人将对业绩、信誉、人员配置、施工能力各方面进行资格预审，择优推荐至电子平台并电话通知合格的投标人。合格的投标人可在电子平台进行注册、下载招标文件和进行电子投标的培训。平台网址为：http://webbiao.com</w:t>
      </w:r>
    </w:p>
    <w:p>
      <w:pPr>
        <w:widowControl/>
        <w:spacing w:line="480" w:lineRule="exact"/>
        <w:ind w:firstLine="480"/>
        <w:rPr>
          <w:rFonts w:ascii="楷体_GB2312" w:hAnsi="宋体" w:eastAsia="楷体_GB2312" w:cs="宋体"/>
          <w:b/>
          <w:sz w:val="28"/>
          <w:szCs w:val="28"/>
        </w:rPr>
      </w:pPr>
      <w:r>
        <w:rPr>
          <w:rFonts w:hint="eastAsia" w:ascii="楷体_GB2312" w:hAnsi="宋体" w:eastAsia="楷体_GB2312" w:cs="宋体"/>
          <w:b/>
          <w:bCs/>
          <w:sz w:val="28"/>
          <w:szCs w:val="28"/>
        </w:rPr>
        <w:t>12、监督小组：本次招标活动遵循公开、公平、公正和诚实信用的原则，特此成立监督小组，对招标过程全程监督，包括开标、评标、定标及合同签订的全过程都将依法依规进行监督、检查。</w:t>
      </w:r>
    </w:p>
    <w:p>
      <w:pPr>
        <w:widowControl/>
        <w:tabs>
          <w:tab w:val="center" w:pos="4393"/>
        </w:tabs>
        <w:spacing w:line="480" w:lineRule="exact"/>
        <w:ind w:firstLine="480"/>
        <w:rPr>
          <w:rFonts w:ascii="楷体_GB2312" w:hAnsi="宋体" w:eastAsia="楷体_GB2312" w:cs="宋体"/>
          <w:b/>
          <w:bCs/>
          <w:sz w:val="28"/>
          <w:szCs w:val="28"/>
        </w:rPr>
      </w:pPr>
      <w:r>
        <w:rPr>
          <w:rFonts w:hint="eastAsia" w:ascii="楷体_GB2312" w:hAnsi="宋体" w:eastAsia="楷体_GB2312" w:cs="宋体"/>
          <w:b/>
          <w:bCs/>
          <w:sz w:val="28"/>
          <w:szCs w:val="28"/>
        </w:rPr>
        <w:t>13、联系方式</w:t>
      </w:r>
      <w:r>
        <w:rPr>
          <w:rFonts w:hint="eastAsia" w:ascii="楷体_GB2312" w:hAnsi="宋体" w:eastAsia="楷体_GB2312" w:cs="宋体"/>
          <w:b/>
          <w:bCs/>
          <w:sz w:val="28"/>
          <w:szCs w:val="28"/>
        </w:rPr>
        <w:tab/>
      </w:r>
    </w:p>
    <w:p>
      <w:pPr>
        <w:widowControl/>
        <w:spacing w:line="480" w:lineRule="exact"/>
        <w:ind w:firstLine="560" w:firstLineChars="200"/>
        <w:rPr>
          <w:rFonts w:ascii="楷体_GB2312" w:hAnsi="宋体" w:eastAsia="楷体_GB2312" w:cs="宋体"/>
          <w:sz w:val="28"/>
          <w:szCs w:val="28"/>
        </w:rPr>
      </w:pPr>
      <w:r>
        <w:rPr>
          <w:rFonts w:hint="eastAsia" w:ascii="楷体_GB2312" w:hAnsi="宋体" w:eastAsia="楷体_GB2312" w:cs="宋体"/>
          <w:sz w:val="28"/>
          <w:szCs w:val="28"/>
        </w:rPr>
        <w:t xml:space="preserve">项目部（报名）：刘志超18034075038 </w:t>
      </w:r>
    </w:p>
    <w:p>
      <w:pPr>
        <w:widowControl/>
        <w:spacing w:line="480" w:lineRule="exact"/>
        <w:ind w:firstLine="560" w:firstLineChars="200"/>
        <w:rPr>
          <w:rFonts w:ascii="楷体_GB2312" w:hAnsi="宋体" w:eastAsia="楷体_GB2312" w:cs="宋体"/>
          <w:sz w:val="28"/>
          <w:szCs w:val="28"/>
        </w:rPr>
      </w:pPr>
      <w:r>
        <w:rPr>
          <w:rFonts w:hint="eastAsia" w:ascii="楷体_GB2312" w:hAnsi="宋体" w:eastAsia="楷体_GB2312" w:cs="宋体"/>
          <w:sz w:val="28"/>
          <w:szCs w:val="28"/>
        </w:rPr>
        <w:t>项目部（咨询）：刘景赞17788213606  苗少飞18603318726</w:t>
      </w:r>
    </w:p>
    <w:p>
      <w:pPr>
        <w:widowControl/>
        <w:spacing w:line="480" w:lineRule="exact"/>
        <w:ind w:firstLine="560" w:firstLineChars="200"/>
        <w:rPr>
          <w:rFonts w:ascii="楷体_GB2312" w:hAnsi="宋体" w:eastAsia="楷体_GB2312" w:cs="宋体"/>
          <w:sz w:val="28"/>
          <w:szCs w:val="28"/>
        </w:rPr>
      </w:pPr>
      <w:r>
        <w:rPr>
          <w:rFonts w:hint="eastAsia" w:ascii="楷体_GB2312" w:hAnsi="宋体" w:eastAsia="楷体_GB2312" w:cs="宋体"/>
          <w:sz w:val="28"/>
          <w:szCs w:val="28"/>
        </w:rPr>
        <w:t>平台联系人：李增光13068774377</w:t>
      </w:r>
    </w:p>
    <w:p>
      <w:pPr>
        <w:widowControl/>
        <w:spacing w:line="480" w:lineRule="exact"/>
        <w:ind w:firstLine="560" w:firstLineChars="200"/>
        <w:rPr>
          <w:rFonts w:ascii="楷体_GB2312" w:hAnsi="宋体" w:eastAsia="楷体_GB2312" w:cs="宋体"/>
          <w:sz w:val="28"/>
          <w:szCs w:val="28"/>
        </w:rPr>
      </w:pPr>
      <w:r>
        <w:rPr>
          <w:rFonts w:hint="eastAsia" w:ascii="楷体_GB2312" w:hAnsi="宋体" w:eastAsia="楷体_GB2312" w:cs="宋体"/>
          <w:sz w:val="28"/>
          <w:szCs w:val="28"/>
        </w:rPr>
        <w:t>监督小组成员：程海涛18732184813  王艳华18910376416</w:t>
      </w:r>
    </w:p>
    <w:p>
      <w:pPr>
        <w:pStyle w:val="2"/>
        <w:spacing w:line="480" w:lineRule="exact"/>
        <w:ind w:firstLine="608"/>
        <w:rPr>
          <w:rFonts w:ascii="楷体_GB2312" w:eastAsia="楷体_GB2312"/>
          <w:sz w:val="28"/>
          <w:szCs w:val="28"/>
        </w:rPr>
      </w:pPr>
    </w:p>
    <w:p>
      <w:pPr>
        <w:tabs>
          <w:tab w:val="left" w:pos="6115"/>
          <w:tab w:val="right" w:pos="9185"/>
        </w:tabs>
        <w:spacing w:line="480" w:lineRule="exact"/>
        <w:rPr>
          <w:rFonts w:ascii="楷体_GB2312" w:hAnsi="宋体" w:eastAsia="楷体_GB2312" w:cs="宋体"/>
          <w:sz w:val="28"/>
          <w:szCs w:val="28"/>
        </w:rPr>
      </w:pPr>
    </w:p>
    <w:p>
      <w:pPr>
        <w:tabs>
          <w:tab w:val="left" w:pos="6115"/>
          <w:tab w:val="right" w:pos="9185"/>
        </w:tabs>
        <w:spacing w:line="480" w:lineRule="exact"/>
        <w:ind w:right="480"/>
        <w:jc w:val="right"/>
        <w:rPr>
          <w:rFonts w:ascii="楷体_GB2312" w:hAnsi="宋体" w:eastAsia="楷体_GB2312" w:cs="宋体"/>
          <w:sz w:val="28"/>
          <w:szCs w:val="28"/>
        </w:rPr>
      </w:pPr>
      <w:r>
        <w:rPr>
          <w:rFonts w:hint="eastAsia" w:ascii="楷体_GB2312" w:hAnsi="宋体" w:eastAsia="楷体_GB2312" w:cs="宋体"/>
          <w:sz w:val="28"/>
          <w:szCs w:val="28"/>
        </w:rPr>
        <w:t xml:space="preserve">河北建工集团有限责任公司 </w:t>
      </w:r>
    </w:p>
    <w:p>
      <w:pPr>
        <w:spacing w:line="480" w:lineRule="exact"/>
        <w:jc w:val="right"/>
        <w:rPr>
          <w:rFonts w:ascii="楷体_GB2312" w:hAnsi="宋体" w:eastAsia="楷体_GB2312" w:cs="宋体"/>
          <w:sz w:val="28"/>
          <w:szCs w:val="28"/>
        </w:rPr>
      </w:pPr>
      <w:r>
        <w:rPr>
          <w:rFonts w:hint="eastAsia" w:ascii="楷体_GB2312" w:hAnsi="宋体" w:eastAsia="楷体_GB2312" w:cs="宋体"/>
          <w:sz w:val="28"/>
          <w:szCs w:val="28"/>
        </w:rPr>
        <w:t>容东片区C组团安置房及配套设施项目部</w:t>
      </w:r>
    </w:p>
    <w:p>
      <w:pPr>
        <w:pStyle w:val="2"/>
        <w:spacing w:line="480" w:lineRule="exact"/>
        <w:ind w:left="0" w:firstLine="608"/>
        <w:rPr>
          <w:rFonts w:ascii="楷体_GB2312" w:eastAsia="楷体_GB2312"/>
          <w:sz w:val="28"/>
          <w:szCs w:val="28"/>
        </w:rPr>
      </w:pPr>
      <w:r>
        <w:rPr>
          <w:rFonts w:hint="eastAsia" w:ascii="楷体_GB2312" w:hAnsi="宋体" w:eastAsia="楷体_GB2312" w:cs="宋体"/>
          <w:sz w:val="28"/>
          <w:szCs w:val="28"/>
        </w:rPr>
        <w:t xml:space="preserve">                                 2020年06月28日</w:t>
      </w:r>
    </w:p>
    <w:p>
      <w:pPr>
        <w:pStyle w:val="2"/>
        <w:ind w:left="0" w:firstLine="528"/>
      </w:pPr>
    </w:p>
    <w:p>
      <w:pPr>
        <w:spacing w:line="360" w:lineRule="auto"/>
      </w:pPr>
      <w:r>
        <w:br w:type="page"/>
      </w:r>
    </w:p>
    <w:p>
      <w:pPr>
        <w:spacing w:line="360" w:lineRule="auto"/>
        <w:jc w:val="center"/>
        <w:outlineLvl w:val="0"/>
        <w:rPr>
          <w:rFonts w:hAnsi="宋体" w:cs="宋体"/>
          <w:b/>
          <w:spacing w:val="40"/>
          <w:sz w:val="32"/>
        </w:rPr>
      </w:pPr>
      <w:r>
        <w:rPr>
          <w:rFonts w:hint="eastAsia" w:hAnsi="宋体" w:cs="宋体"/>
          <w:b/>
          <w:spacing w:val="40"/>
          <w:sz w:val="32"/>
        </w:rPr>
        <w:t>二、投标须知附表</w:t>
      </w:r>
    </w:p>
    <w:tbl>
      <w:tblPr>
        <w:tblStyle w:val="35"/>
        <w:tblW w:w="0" w:type="auto"/>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1302"/>
        <w:gridCol w:w="758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512" w:type="dxa"/>
            <w:vAlign w:val="center"/>
          </w:tcPr>
          <w:p>
            <w:pPr>
              <w:jc w:val="center"/>
              <w:rPr>
                <w:rFonts w:hAnsi="宋体" w:cs="宋体"/>
                <w:sz w:val="24"/>
                <w:szCs w:val="24"/>
              </w:rPr>
            </w:pPr>
            <w:r>
              <w:rPr>
                <w:rFonts w:hint="eastAsia" w:hAnsi="宋体" w:cs="宋体"/>
                <w:sz w:val="24"/>
                <w:szCs w:val="24"/>
              </w:rPr>
              <w:t>项号</w:t>
            </w:r>
          </w:p>
        </w:tc>
        <w:tc>
          <w:tcPr>
            <w:tcW w:w="1302" w:type="dxa"/>
            <w:vAlign w:val="center"/>
          </w:tcPr>
          <w:p>
            <w:pPr>
              <w:jc w:val="center"/>
              <w:rPr>
                <w:rFonts w:hAnsi="宋体" w:cs="宋体"/>
                <w:sz w:val="24"/>
                <w:szCs w:val="24"/>
              </w:rPr>
            </w:pPr>
            <w:r>
              <w:rPr>
                <w:rFonts w:hint="eastAsia" w:hAnsi="宋体" w:cs="宋体"/>
                <w:sz w:val="24"/>
                <w:szCs w:val="24"/>
              </w:rPr>
              <w:t>内   容</w:t>
            </w:r>
          </w:p>
        </w:tc>
        <w:tc>
          <w:tcPr>
            <w:tcW w:w="7587" w:type="dxa"/>
            <w:vAlign w:val="center"/>
          </w:tcPr>
          <w:p>
            <w:pPr>
              <w:tabs>
                <w:tab w:val="left" w:pos="1180"/>
              </w:tabs>
              <w:jc w:val="center"/>
              <w:rPr>
                <w:rFonts w:hAnsi="宋体" w:cs="宋体"/>
                <w:sz w:val="24"/>
                <w:szCs w:val="24"/>
              </w:rPr>
            </w:pPr>
            <w:r>
              <w:rPr>
                <w:rFonts w:hint="eastAsia"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512" w:type="dxa"/>
            <w:vAlign w:val="center"/>
          </w:tcPr>
          <w:p>
            <w:pPr>
              <w:jc w:val="center"/>
              <w:rPr>
                <w:rFonts w:hAnsi="宋体" w:cs="宋体"/>
                <w:sz w:val="24"/>
                <w:szCs w:val="24"/>
              </w:rPr>
            </w:pPr>
            <w:r>
              <w:rPr>
                <w:rFonts w:hint="eastAsia" w:hAnsi="宋体" w:cs="宋体"/>
                <w:sz w:val="24"/>
                <w:szCs w:val="24"/>
              </w:rPr>
              <w:t>1</w:t>
            </w:r>
          </w:p>
        </w:tc>
        <w:tc>
          <w:tcPr>
            <w:tcW w:w="1302" w:type="dxa"/>
            <w:vAlign w:val="center"/>
          </w:tcPr>
          <w:p>
            <w:pPr>
              <w:jc w:val="center"/>
              <w:rPr>
                <w:rFonts w:hAnsi="宋体" w:cs="宋体"/>
                <w:sz w:val="24"/>
                <w:szCs w:val="24"/>
              </w:rPr>
            </w:pPr>
            <w:r>
              <w:rPr>
                <w:rFonts w:hint="eastAsia" w:hAnsi="宋体" w:cs="宋体"/>
                <w:sz w:val="24"/>
                <w:szCs w:val="24"/>
              </w:rPr>
              <w:t>项目名称</w:t>
            </w:r>
          </w:p>
        </w:tc>
        <w:tc>
          <w:tcPr>
            <w:tcW w:w="7587" w:type="dxa"/>
            <w:vAlign w:val="center"/>
          </w:tcPr>
          <w:p>
            <w:pPr>
              <w:jc w:val="left"/>
              <w:rPr>
                <w:rFonts w:hAnsi="宋体" w:cs="宋体"/>
                <w:sz w:val="24"/>
                <w:szCs w:val="24"/>
              </w:rPr>
            </w:pPr>
            <w:r>
              <w:rPr>
                <w:rFonts w:hint="eastAsia" w:hAnsi="宋体" w:cs="宋体"/>
                <w:sz w:val="24"/>
                <w:szCs w:val="24"/>
              </w:rPr>
              <w:t>容东片区B1、B2、C、D1、D2、E组团安置房及配套设施项目</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512" w:type="dxa"/>
            <w:vAlign w:val="center"/>
          </w:tcPr>
          <w:p>
            <w:pPr>
              <w:jc w:val="center"/>
              <w:rPr>
                <w:rFonts w:hAnsi="宋体" w:cs="宋体"/>
                <w:sz w:val="24"/>
                <w:szCs w:val="24"/>
              </w:rPr>
            </w:pPr>
            <w:r>
              <w:rPr>
                <w:rFonts w:hint="eastAsia" w:hAnsi="宋体" w:cs="宋体"/>
                <w:sz w:val="24"/>
                <w:szCs w:val="24"/>
              </w:rPr>
              <w:t>2</w:t>
            </w:r>
          </w:p>
        </w:tc>
        <w:tc>
          <w:tcPr>
            <w:tcW w:w="1302" w:type="dxa"/>
            <w:vAlign w:val="center"/>
          </w:tcPr>
          <w:p>
            <w:pPr>
              <w:jc w:val="center"/>
              <w:rPr>
                <w:rFonts w:hAnsi="宋体" w:cs="宋体"/>
                <w:sz w:val="24"/>
                <w:szCs w:val="24"/>
              </w:rPr>
            </w:pPr>
            <w:r>
              <w:rPr>
                <w:rFonts w:hint="eastAsia" w:hAnsi="宋体" w:cs="宋体"/>
                <w:sz w:val="24"/>
                <w:szCs w:val="24"/>
              </w:rPr>
              <w:t>建设地点</w:t>
            </w:r>
          </w:p>
        </w:tc>
        <w:tc>
          <w:tcPr>
            <w:tcW w:w="7587" w:type="dxa"/>
            <w:vAlign w:val="center"/>
          </w:tcPr>
          <w:p>
            <w:pPr>
              <w:jc w:val="left"/>
              <w:rPr>
                <w:rFonts w:hAnsi="宋体" w:cs="宋体"/>
                <w:sz w:val="24"/>
                <w:szCs w:val="24"/>
              </w:rPr>
            </w:pPr>
            <w:r>
              <w:rPr>
                <w:rFonts w:hint="eastAsia" w:hAnsi="宋体" w:cs="宋体"/>
                <w:kern w:val="2"/>
                <w:sz w:val="24"/>
                <w:szCs w:val="22"/>
              </w:rPr>
              <w:t>雄安新区容东片区（河北省保定市容城县），容城南至S333路，西至N2路，北至津保铁路，东至N18路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4" w:hRule="exact"/>
          <w:jc w:val="center"/>
        </w:trPr>
        <w:tc>
          <w:tcPr>
            <w:tcW w:w="512" w:type="dxa"/>
            <w:vAlign w:val="center"/>
          </w:tcPr>
          <w:p>
            <w:pPr>
              <w:jc w:val="center"/>
              <w:rPr>
                <w:rFonts w:hAnsi="宋体" w:cs="宋体"/>
                <w:sz w:val="24"/>
                <w:szCs w:val="24"/>
              </w:rPr>
            </w:pPr>
            <w:r>
              <w:rPr>
                <w:rFonts w:hint="eastAsia" w:hAnsi="宋体" w:cs="宋体"/>
                <w:sz w:val="24"/>
                <w:szCs w:val="24"/>
              </w:rPr>
              <w:t>3</w:t>
            </w:r>
          </w:p>
        </w:tc>
        <w:tc>
          <w:tcPr>
            <w:tcW w:w="1302" w:type="dxa"/>
            <w:vAlign w:val="center"/>
          </w:tcPr>
          <w:p>
            <w:pPr>
              <w:jc w:val="center"/>
              <w:rPr>
                <w:rFonts w:hAnsi="宋体" w:cs="宋体"/>
                <w:sz w:val="24"/>
                <w:szCs w:val="24"/>
              </w:rPr>
            </w:pPr>
            <w:r>
              <w:rPr>
                <w:rFonts w:hint="eastAsia" w:hAnsi="宋体" w:cs="宋体"/>
                <w:sz w:val="24"/>
                <w:szCs w:val="24"/>
              </w:rPr>
              <w:t>工程概况</w:t>
            </w:r>
          </w:p>
        </w:tc>
        <w:tc>
          <w:tcPr>
            <w:tcW w:w="7587" w:type="dxa"/>
            <w:vAlign w:val="center"/>
          </w:tcPr>
          <w:p>
            <w:pPr>
              <w:ind w:firstLine="480" w:firstLineChars="200"/>
              <w:rPr>
                <w:rFonts w:eastAsia="楷体_GB2312"/>
                <w:sz w:val="24"/>
              </w:rPr>
            </w:pPr>
            <w:r>
              <w:rPr>
                <w:rFonts w:hint="eastAsia" w:hAnsi="宋体" w:cs="宋体"/>
                <w:kern w:val="2"/>
                <w:sz w:val="24"/>
                <w:szCs w:val="22"/>
              </w:rPr>
              <w:t>总建筑面积约40万平米，包括43栋住宅1所幼儿园楼，地上 2-15 层,地下2层。包含地下车库、地下室、住宅、公寓、公服、商业、幼儿园。结构体系：筏板基础，钢筋混凝土框架剪力墙结构。基坑的大开挖、放坡、护坡已完成，主楼下桩头、桩间土已清理完毕。</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512" w:type="dxa"/>
            <w:vAlign w:val="center"/>
          </w:tcPr>
          <w:p>
            <w:pPr>
              <w:jc w:val="center"/>
              <w:rPr>
                <w:rFonts w:hAnsi="宋体" w:cs="宋体"/>
                <w:sz w:val="24"/>
                <w:szCs w:val="24"/>
              </w:rPr>
            </w:pPr>
            <w:r>
              <w:rPr>
                <w:rFonts w:hint="eastAsia" w:hAnsi="宋体" w:cs="宋体"/>
                <w:sz w:val="24"/>
                <w:szCs w:val="24"/>
              </w:rPr>
              <w:t>4</w:t>
            </w:r>
          </w:p>
        </w:tc>
        <w:tc>
          <w:tcPr>
            <w:tcW w:w="1302" w:type="dxa"/>
            <w:vAlign w:val="center"/>
          </w:tcPr>
          <w:p>
            <w:pPr>
              <w:jc w:val="center"/>
              <w:rPr>
                <w:rFonts w:hAnsi="宋体" w:cs="宋体"/>
                <w:sz w:val="24"/>
                <w:szCs w:val="24"/>
              </w:rPr>
            </w:pPr>
            <w:r>
              <w:rPr>
                <w:rFonts w:hint="eastAsia" w:hAnsi="宋体" w:cs="宋体"/>
                <w:sz w:val="24"/>
                <w:szCs w:val="24"/>
              </w:rPr>
              <w:t>承包方式</w:t>
            </w:r>
          </w:p>
        </w:tc>
        <w:tc>
          <w:tcPr>
            <w:tcW w:w="7587" w:type="dxa"/>
            <w:vAlign w:val="center"/>
          </w:tcPr>
          <w:p>
            <w:pPr>
              <w:jc w:val="left"/>
              <w:rPr>
                <w:rFonts w:hAnsi="宋体" w:cs="宋体"/>
                <w:sz w:val="24"/>
                <w:szCs w:val="24"/>
              </w:rPr>
            </w:pPr>
            <w:r>
              <w:rPr>
                <w:rFonts w:hint="eastAsia" w:hAnsi="宋体" w:cs="宋体"/>
                <w:sz w:val="24"/>
                <w:szCs w:val="24"/>
              </w:rPr>
              <w:t>专业分包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512" w:type="dxa"/>
            <w:vAlign w:val="center"/>
          </w:tcPr>
          <w:p>
            <w:pPr>
              <w:jc w:val="center"/>
              <w:rPr>
                <w:rFonts w:hAnsi="宋体" w:cs="宋体"/>
                <w:sz w:val="24"/>
                <w:szCs w:val="24"/>
              </w:rPr>
            </w:pPr>
            <w:r>
              <w:rPr>
                <w:rFonts w:hint="eastAsia" w:hAnsi="宋体" w:cs="宋体"/>
                <w:sz w:val="24"/>
                <w:szCs w:val="24"/>
              </w:rPr>
              <w:t>5</w:t>
            </w:r>
          </w:p>
        </w:tc>
        <w:tc>
          <w:tcPr>
            <w:tcW w:w="1302" w:type="dxa"/>
            <w:vAlign w:val="center"/>
          </w:tcPr>
          <w:p>
            <w:pPr>
              <w:jc w:val="center"/>
              <w:rPr>
                <w:rFonts w:hAnsi="宋体" w:cs="宋体"/>
                <w:sz w:val="24"/>
                <w:szCs w:val="24"/>
              </w:rPr>
            </w:pPr>
            <w:r>
              <w:rPr>
                <w:rFonts w:hint="eastAsia" w:hAnsi="宋体" w:cs="宋体"/>
                <w:sz w:val="24"/>
                <w:szCs w:val="24"/>
              </w:rPr>
              <w:t>质量及技术标准</w:t>
            </w:r>
          </w:p>
        </w:tc>
        <w:tc>
          <w:tcPr>
            <w:tcW w:w="7587" w:type="dxa"/>
            <w:vAlign w:val="center"/>
          </w:tcPr>
          <w:p>
            <w:pPr>
              <w:jc w:val="left"/>
              <w:rPr>
                <w:rFonts w:hAnsi="宋体" w:cs="宋体"/>
                <w:sz w:val="24"/>
                <w:szCs w:val="24"/>
              </w:rPr>
            </w:pPr>
            <w:r>
              <w:rPr>
                <w:rFonts w:hint="eastAsia" w:hAnsi="宋体" w:cs="宋体"/>
                <w:sz w:val="24"/>
                <w:szCs w:val="24"/>
              </w:rPr>
              <w:t>满足图纸设计和施工要求，符合现行国家有关工程施工验收规范和标准的要求（合格），并满足雄安新区相关文件对于工程质量的要求。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8" w:hRule="exact"/>
          <w:jc w:val="center"/>
        </w:trPr>
        <w:tc>
          <w:tcPr>
            <w:tcW w:w="512" w:type="dxa"/>
            <w:vAlign w:val="center"/>
          </w:tcPr>
          <w:p>
            <w:pPr>
              <w:jc w:val="center"/>
              <w:rPr>
                <w:rFonts w:hAnsi="宋体" w:cs="宋体"/>
                <w:sz w:val="24"/>
                <w:szCs w:val="24"/>
              </w:rPr>
            </w:pPr>
            <w:r>
              <w:rPr>
                <w:rFonts w:hint="eastAsia" w:hAnsi="宋体" w:cs="宋体"/>
                <w:sz w:val="24"/>
                <w:szCs w:val="24"/>
              </w:rPr>
              <w:t>6</w:t>
            </w:r>
          </w:p>
        </w:tc>
        <w:tc>
          <w:tcPr>
            <w:tcW w:w="1302" w:type="dxa"/>
            <w:vAlign w:val="center"/>
          </w:tcPr>
          <w:p>
            <w:pPr>
              <w:jc w:val="center"/>
              <w:rPr>
                <w:rFonts w:hAnsi="宋体" w:cs="宋体"/>
                <w:sz w:val="24"/>
                <w:szCs w:val="24"/>
              </w:rPr>
            </w:pPr>
            <w:r>
              <w:rPr>
                <w:rFonts w:hint="eastAsia" w:hAnsi="宋体" w:cs="宋体"/>
                <w:sz w:val="24"/>
                <w:szCs w:val="24"/>
              </w:rPr>
              <w:t>招标范围</w:t>
            </w:r>
          </w:p>
        </w:tc>
        <w:tc>
          <w:tcPr>
            <w:tcW w:w="7587" w:type="dxa"/>
            <w:vAlign w:val="center"/>
          </w:tcPr>
          <w:p>
            <w:pPr>
              <w:widowControl/>
              <w:ind w:firstLine="480" w:firstLineChars="200"/>
              <w:jc w:val="left"/>
              <w:rPr>
                <w:rFonts w:hAnsi="宋体" w:cs="宋体"/>
                <w:sz w:val="24"/>
                <w:szCs w:val="24"/>
              </w:rPr>
            </w:pPr>
            <w:r>
              <w:rPr>
                <w:rFonts w:hint="eastAsia" w:hAnsi="宋体" w:cs="宋体"/>
                <w:sz w:val="24"/>
                <w:szCs w:val="24"/>
              </w:rPr>
              <w:t>（1）现场及图纸范围内场地平整、捡底清槽、土方开挖、余方弃置（含渣土消纳）、外购土方回填（含借土场取土费用、购土费用）、原土回填、灰土回填、边坡清理修整、修检边、捡底、下柱墩、电梯井、集水坑及其他零星挖土的挖方配合其他施工、挖填土过程中的各种垫路、坡道的修筑及撤除等工作（包含现场开挖运输过程中所有建筑、生活垃圾及其他一切影响物的开挖外运工作，塔吊基础及临时道路、地面的破碎外运）。</w:t>
            </w:r>
          </w:p>
          <w:p>
            <w:pPr>
              <w:widowControl/>
              <w:ind w:firstLine="480" w:firstLineChars="200"/>
              <w:jc w:val="left"/>
              <w:rPr>
                <w:rFonts w:hAnsi="宋体" w:cs="宋体"/>
                <w:sz w:val="24"/>
                <w:szCs w:val="24"/>
              </w:rPr>
            </w:pPr>
            <w:r>
              <w:rPr>
                <w:rFonts w:hint="eastAsia" w:hAnsi="宋体" w:cs="宋体"/>
                <w:sz w:val="24"/>
                <w:szCs w:val="24"/>
              </w:rPr>
              <w:t>（2）投标人负责承包范围内及通行道路上的清理、打扫、洒水及施工现场的扬尘治理（水管、水龙带、洒水车及雾炮机等全部相关物品由投标人自行提供，必须符合雄安标准、规范和相应文件要求。具体要求见招标文件后附件一），总之一切与文明施工有关的内容均包含在承包范围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512" w:type="dxa"/>
            <w:vAlign w:val="center"/>
          </w:tcPr>
          <w:p>
            <w:pPr>
              <w:jc w:val="center"/>
              <w:rPr>
                <w:rFonts w:hAnsi="宋体" w:cs="宋体"/>
                <w:sz w:val="24"/>
                <w:szCs w:val="24"/>
              </w:rPr>
            </w:pPr>
            <w:r>
              <w:rPr>
                <w:rFonts w:hint="eastAsia" w:hAnsi="宋体" w:cs="宋体"/>
                <w:sz w:val="24"/>
                <w:szCs w:val="24"/>
              </w:rPr>
              <w:t>7</w:t>
            </w:r>
          </w:p>
        </w:tc>
        <w:tc>
          <w:tcPr>
            <w:tcW w:w="1302" w:type="dxa"/>
            <w:vAlign w:val="center"/>
          </w:tcPr>
          <w:p>
            <w:pPr>
              <w:jc w:val="center"/>
              <w:rPr>
                <w:rFonts w:hAnsi="宋体" w:cs="宋体"/>
                <w:sz w:val="24"/>
                <w:szCs w:val="24"/>
              </w:rPr>
            </w:pPr>
            <w:r>
              <w:rPr>
                <w:rFonts w:hint="eastAsia" w:hAnsi="宋体" w:cs="宋体"/>
                <w:sz w:val="24"/>
                <w:szCs w:val="24"/>
              </w:rPr>
              <w:t>计划工期</w:t>
            </w:r>
          </w:p>
        </w:tc>
        <w:tc>
          <w:tcPr>
            <w:tcW w:w="7587" w:type="dxa"/>
            <w:vAlign w:val="center"/>
          </w:tcPr>
          <w:p>
            <w:pPr>
              <w:rPr>
                <w:rFonts w:hAnsi="宋体" w:cs="宋体"/>
                <w:sz w:val="24"/>
                <w:szCs w:val="22"/>
              </w:rPr>
            </w:pPr>
            <w:r>
              <w:rPr>
                <w:rFonts w:hint="eastAsia" w:hAnsi="宋体" w:cs="宋体"/>
                <w:sz w:val="24"/>
                <w:szCs w:val="22"/>
              </w:rPr>
              <w:t>进场时间以招标人通知为准，具体施工节点由招标人制定（需要符合招标人施工进度计划整体安排）。</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12" w:type="dxa"/>
            <w:vAlign w:val="center"/>
          </w:tcPr>
          <w:p>
            <w:pPr>
              <w:jc w:val="center"/>
              <w:rPr>
                <w:rFonts w:hAnsi="宋体" w:cs="宋体"/>
                <w:sz w:val="24"/>
                <w:szCs w:val="24"/>
              </w:rPr>
            </w:pPr>
            <w:r>
              <w:rPr>
                <w:rFonts w:hint="eastAsia" w:hAnsi="宋体" w:cs="宋体"/>
                <w:sz w:val="24"/>
                <w:szCs w:val="24"/>
              </w:rPr>
              <w:t>8</w:t>
            </w:r>
          </w:p>
        </w:tc>
        <w:tc>
          <w:tcPr>
            <w:tcW w:w="1302" w:type="dxa"/>
            <w:vAlign w:val="center"/>
          </w:tcPr>
          <w:p>
            <w:pPr>
              <w:jc w:val="center"/>
              <w:rPr>
                <w:rFonts w:hAnsi="宋体" w:cs="宋体"/>
                <w:sz w:val="24"/>
                <w:szCs w:val="24"/>
              </w:rPr>
            </w:pPr>
            <w:r>
              <w:rPr>
                <w:rFonts w:hint="eastAsia" w:hAnsi="宋体" w:cs="宋体"/>
                <w:sz w:val="24"/>
                <w:szCs w:val="24"/>
              </w:rPr>
              <w:t>投标人资质</w:t>
            </w:r>
          </w:p>
          <w:p>
            <w:pPr>
              <w:jc w:val="center"/>
              <w:rPr>
                <w:rFonts w:hAnsi="宋体" w:cs="宋体"/>
                <w:spacing w:val="-8"/>
                <w:sz w:val="24"/>
                <w:szCs w:val="24"/>
              </w:rPr>
            </w:pPr>
            <w:r>
              <w:rPr>
                <w:rFonts w:hint="eastAsia" w:hAnsi="宋体" w:cs="宋体"/>
                <w:spacing w:val="-8"/>
                <w:sz w:val="24"/>
                <w:szCs w:val="24"/>
              </w:rPr>
              <w:t>等级要求</w:t>
            </w:r>
          </w:p>
        </w:tc>
        <w:tc>
          <w:tcPr>
            <w:tcW w:w="7587" w:type="dxa"/>
            <w:vAlign w:val="center"/>
          </w:tcPr>
          <w:p>
            <w:pPr>
              <w:jc w:val="left"/>
              <w:rPr>
                <w:rFonts w:hAnsi="宋体" w:cs="宋体"/>
                <w:sz w:val="24"/>
                <w:szCs w:val="24"/>
              </w:rPr>
            </w:pPr>
            <w:r>
              <w:rPr>
                <w:rFonts w:hint="eastAsia" w:hAnsi="宋体" w:cs="宋体"/>
                <w:sz w:val="24"/>
                <w:szCs w:val="24"/>
              </w:rPr>
              <w:t>（1）投标人具有独立法人资格，持有工商管理部门核发的法人营业执</w:t>
            </w:r>
          </w:p>
          <w:p>
            <w:pPr>
              <w:jc w:val="left"/>
              <w:rPr>
                <w:rFonts w:hAnsi="宋体" w:cs="宋体"/>
                <w:sz w:val="24"/>
                <w:szCs w:val="24"/>
              </w:rPr>
            </w:pPr>
            <w:r>
              <w:rPr>
                <w:rFonts w:hint="eastAsia" w:hAnsi="宋体" w:cs="宋体"/>
                <w:sz w:val="24"/>
                <w:szCs w:val="24"/>
              </w:rPr>
              <w:t>（经营范围必须包含土方施工相关内容）。</w:t>
            </w:r>
          </w:p>
          <w:p>
            <w:pPr>
              <w:jc w:val="left"/>
              <w:rPr>
                <w:rFonts w:hAnsi="宋体" w:cs="宋体"/>
                <w:sz w:val="24"/>
                <w:szCs w:val="24"/>
              </w:rPr>
            </w:pPr>
            <w:r>
              <w:rPr>
                <w:rFonts w:hint="eastAsia" w:hAnsi="宋体" w:cs="宋体"/>
                <w:sz w:val="24"/>
                <w:szCs w:val="24"/>
              </w:rPr>
              <w:t>（2）具备税务部门登记的一般纳税人资格。</w:t>
            </w:r>
          </w:p>
          <w:p>
            <w:pPr>
              <w:jc w:val="left"/>
              <w:rPr>
                <w:rFonts w:hAnsi="宋体" w:cs="宋体"/>
                <w:sz w:val="24"/>
                <w:szCs w:val="24"/>
              </w:rPr>
            </w:pPr>
            <w:r>
              <w:rPr>
                <w:rFonts w:hint="eastAsia" w:hAnsi="宋体" w:cs="宋体"/>
                <w:sz w:val="24"/>
                <w:szCs w:val="24"/>
              </w:rPr>
              <w:t>（3）具有国家、省、市、雄安新区相关部门要求的渣土清运、土石方作业资格。</w:t>
            </w:r>
          </w:p>
          <w:p>
            <w:pPr>
              <w:jc w:val="left"/>
              <w:rPr>
                <w:rFonts w:hAnsi="宋体" w:cs="宋体"/>
                <w:sz w:val="24"/>
                <w:szCs w:val="24"/>
              </w:rPr>
            </w:pPr>
            <w:r>
              <w:rPr>
                <w:rFonts w:hint="eastAsia" w:hAnsi="宋体" w:cs="宋体"/>
                <w:sz w:val="24"/>
                <w:szCs w:val="24"/>
              </w:rPr>
              <w:t>（4）具有良好的商业信誉，必须具有土方工程专业承包所必需的设备、专业技术能力、对外协调能力及资金实力。</w:t>
            </w:r>
          </w:p>
          <w:p>
            <w:pPr>
              <w:jc w:val="left"/>
              <w:rPr>
                <w:rFonts w:hAnsi="宋体" w:cs="宋体"/>
                <w:sz w:val="24"/>
                <w:szCs w:val="24"/>
              </w:rPr>
            </w:pPr>
            <w:r>
              <w:rPr>
                <w:rFonts w:hint="eastAsia" w:hAnsi="宋体" w:cs="宋体"/>
                <w:sz w:val="24"/>
                <w:szCs w:val="24"/>
              </w:rPr>
              <w:t>（5）投标人所提供车辆需满足雄安新区使用规定、标准。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512" w:type="dxa"/>
            <w:vAlign w:val="center"/>
          </w:tcPr>
          <w:p>
            <w:pPr>
              <w:jc w:val="center"/>
              <w:rPr>
                <w:rFonts w:hAnsi="宋体" w:cs="宋体"/>
                <w:sz w:val="24"/>
                <w:szCs w:val="24"/>
              </w:rPr>
            </w:pPr>
            <w:r>
              <w:rPr>
                <w:rFonts w:hint="eastAsia" w:hAnsi="宋体" w:cs="宋体"/>
                <w:sz w:val="24"/>
                <w:szCs w:val="24"/>
              </w:rPr>
              <w:t>9</w:t>
            </w:r>
          </w:p>
        </w:tc>
        <w:tc>
          <w:tcPr>
            <w:tcW w:w="1302" w:type="dxa"/>
            <w:vAlign w:val="center"/>
          </w:tcPr>
          <w:p>
            <w:pPr>
              <w:jc w:val="center"/>
              <w:rPr>
                <w:rFonts w:hAnsi="宋体" w:cs="宋体"/>
                <w:sz w:val="24"/>
                <w:szCs w:val="24"/>
              </w:rPr>
            </w:pPr>
            <w:r>
              <w:rPr>
                <w:rFonts w:hint="eastAsia" w:hAnsi="宋体" w:cs="宋体"/>
                <w:sz w:val="24"/>
                <w:szCs w:val="24"/>
              </w:rPr>
              <w:t>踏勘现场</w:t>
            </w:r>
          </w:p>
        </w:tc>
        <w:tc>
          <w:tcPr>
            <w:tcW w:w="7587" w:type="dxa"/>
            <w:vAlign w:val="center"/>
          </w:tcPr>
          <w:p>
            <w:pPr>
              <w:jc w:val="left"/>
              <w:rPr>
                <w:rFonts w:hAnsi="宋体" w:cs="宋体"/>
                <w:sz w:val="24"/>
                <w:szCs w:val="24"/>
              </w:rPr>
            </w:pPr>
            <w:r>
              <w:rPr>
                <w:rFonts w:hint="eastAsia" w:hAnsi="宋体" w:cs="宋体"/>
                <w:sz w:val="24"/>
                <w:szCs w:val="24"/>
              </w:rPr>
              <w:t>招标人不统一组织踏勘现场，投标人报名时可自行到施工现场进行踏勘。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512" w:type="dxa"/>
            <w:vAlign w:val="center"/>
          </w:tcPr>
          <w:p>
            <w:pPr>
              <w:jc w:val="center"/>
              <w:rPr>
                <w:rFonts w:hAnsi="宋体" w:cs="宋体"/>
                <w:sz w:val="24"/>
                <w:szCs w:val="24"/>
              </w:rPr>
            </w:pPr>
            <w:r>
              <w:rPr>
                <w:rFonts w:hint="eastAsia" w:hAnsi="宋体" w:cs="宋体"/>
                <w:sz w:val="24"/>
                <w:szCs w:val="24"/>
              </w:rPr>
              <w:t>10</w:t>
            </w:r>
          </w:p>
        </w:tc>
        <w:tc>
          <w:tcPr>
            <w:tcW w:w="1302" w:type="dxa"/>
            <w:vAlign w:val="center"/>
          </w:tcPr>
          <w:p>
            <w:pPr>
              <w:jc w:val="center"/>
              <w:rPr>
                <w:rFonts w:hAnsi="宋体" w:cs="宋体"/>
                <w:sz w:val="24"/>
                <w:szCs w:val="24"/>
              </w:rPr>
            </w:pPr>
            <w:r>
              <w:rPr>
                <w:rFonts w:hint="eastAsia" w:hAnsi="宋体" w:cs="宋体"/>
                <w:sz w:val="24"/>
                <w:szCs w:val="24"/>
              </w:rPr>
              <w:t>报价方式</w:t>
            </w:r>
          </w:p>
        </w:tc>
        <w:tc>
          <w:tcPr>
            <w:tcW w:w="7587" w:type="dxa"/>
            <w:vAlign w:val="center"/>
          </w:tcPr>
          <w:p>
            <w:pPr>
              <w:jc w:val="left"/>
              <w:rPr>
                <w:rFonts w:hAnsi="宋体" w:cs="宋体"/>
                <w:sz w:val="24"/>
                <w:szCs w:val="24"/>
              </w:rPr>
            </w:pPr>
            <w:r>
              <w:rPr>
                <w:rFonts w:hint="eastAsia" w:hAnsi="宋体" w:cs="宋体"/>
                <w:sz w:val="24"/>
                <w:szCs w:val="24"/>
              </w:rPr>
              <w:t>详见报价表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512" w:type="dxa"/>
            <w:vAlign w:val="center"/>
          </w:tcPr>
          <w:p>
            <w:pPr>
              <w:jc w:val="center"/>
              <w:rPr>
                <w:rFonts w:hAnsi="宋体" w:cs="宋体"/>
                <w:sz w:val="24"/>
                <w:szCs w:val="24"/>
              </w:rPr>
            </w:pPr>
            <w:r>
              <w:rPr>
                <w:rFonts w:hint="eastAsia" w:hAnsi="宋体" w:cs="宋体"/>
                <w:sz w:val="24"/>
                <w:szCs w:val="24"/>
              </w:rPr>
              <w:t>11</w:t>
            </w:r>
          </w:p>
        </w:tc>
        <w:tc>
          <w:tcPr>
            <w:tcW w:w="1302" w:type="dxa"/>
            <w:vAlign w:val="center"/>
          </w:tcPr>
          <w:p>
            <w:pPr>
              <w:jc w:val="center"/>
              <w:rPr>
                <w:rFonts w:hAnsi="宋体" w:cs="宋体"/>
                <w:sz w:val="24"/>
                <w:szCs w:val="24"/>
              </w:rPr>
            </w:pPr>
            <w:r>
              <w:rPr>
                <w:rFonts w:hint="eastAsia" w:hAnsi="宋体" w:cs="宋体"/>
                <w:sz w:val="24"/>
                <w:szCs w:val="24"/>
              </w:rPr>
              <w:t>投标限价</w:t>
            </w:r>
          </w:p>
        </w:tc>
        <w:tc>
          <w:tcPr>
            <w:tcW w:w="7587" w:type="dxa"/>
            <w:vAlign w:val="center"/>
          </w:tcPr>
          <w:p>
            <w:pPr>
              <w:jc w:val="left"/>
              <w:rPr>
                <w:rFonts w:hAnsi="宋体" w:cs="宋体"/>
                <w:b/>
                <w:sz w:val="24"/>
                <w:szCs w:val="24"/>
              </w:rPr>
            </w:pPr>
            <w:r>
              <w:rPr>
                <w:rFonts w:hint="eastAsia" w:hAnsi="宋体" w:cs="宋体"/>
                <w:b/>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512" w:type="dxa"/>
            <w:vAlign w:val="center"/>
          </w:tcPr>
          <w:p>
            <w:pPr>
              <w:jc w:val="center"/>
              <w:rPr>
                <w:rFonts w:hAnsi="宋体" w:cs="宋体"/>
                <w:sz w:val="24"/>
                <w:szCs w:val="24"/>
              </w:rPr>
            </w:pPr>
            <w:r>
              <w:rPr>
                <w:rFonts w:hint="eastAsia" w:hAnsi="宋体" w:cs="宋体"/>
                <w:sz w:val="24"/>
                <w:szCs w:val="24"/>
              </w:rPr>
              <w:t>12</w:t>
            </w:r>
          </w:p>
        </w:tc>
        <w:tc>
          <w:tcPr>
            <w:tcW w:w="1302" w:type="dxa"/>
            <w:vAlign w:val="center"/>
          </w:tcPr>
          <w:p>
            <w:pPr>
              <w:jc w:val="center"/>
              <w:rPr>
                <w:rFonts w:hAnsi="宋体" w:cs="宋体"/>
                <w:sz w:val="24"/>
                <w:szCs w:val="24"/>
              </w:rPr>
            </w:pPr>
            <w:r>
              <w:rPr>
                <w:rFonts w:hint="eastAsia" w:hAnsi="宋体" w:cs="宋体"/>
                <w:sz w:val="24"/>
                <w:szCs w:val="24"/>
              </w:rPr>
              <w:t>投标有效期</w:t>
            </w:r>
          </w:p>
        </w:tc>
        <w:tc>
          <w:tcPr>
            <w:tcW w:w="7587" w:type="dxa"/>
            <w:vAlign w:val="center"/>
          </w:tcPr>
          <w:p>
            <w:pPr>
              <w:jc w:val="left"/>
              <w:rPr>
                <w:rFonts w:hAnsi="宋体" w:cs="宋体"/>
                <w:sz w:val="24"/>
                <w:szCs w:val="24"/>
              </w:rPr>
            </w:pPr>
            <w:r>
              <w:rPr>
                <w:rFonts w:hint="eastAsia" w:hAnsi="宋体" w:cs="宋体"/>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7" w:hRule="exact"/>
          <w:jc w:val="center"/>
        </w:trPr>
        <w:tc>
          <w:tcPr>
            <w:tcW w:w="512" w:type="dxa"/>
            <w:vAlign w:val="center"/>
          </w:tcPr>
          <w:p>
            <w:pPr>
              <w:jc w:val="center"/>
              <w:rPr>
                <w:rFonts w:hAnsi="宋体" w:cs="宋体"/>
                <w:sz w:val="24"/>
                <w:szCs w:val="24"/>
              </w:rPr>
            </w:pPr>
            <w:r>
              <w:rPr>
                <w:rFonts w:hint="eastAsia" w:hAnsi="宋体" w:cs="宋体"/>
                <w:sz w:val="24"/>
                <w:szCs w:val="24"/>
              </w:rPr>
              <w:t>13</w:t>
            </w:r>
          </w:p>
        </w:tc>
        <w:tc>
          <w:tcPr>
            <w:tcW w:w="1302" w:type="dxa"/>
            <w:vAlign w:val="center"/>
          </w:tcPr>
          <w:p>
            <w:pPr>
              <w:jc w:val="center"/>
              <w:rPr>
                <w:rFonts w:hAnsi="宋体" w:cs="宋体"/>
                <w:sz w:val="24"/>
                <w:szCs w:val="24"/>
              </w:rPr>
            </w:pPr>
            <w:r>
              <w:rPr>
                <w:rFonts w:hint="eastAsia" w:hAnsi="宋体" w:cs="宋体"/>
                <w:sz w:val="24"/>
                <w:szCs w:val="24"/>
              </w:rPr>
              <w:t>投标保证金及履约保证金</w:t>
            </w:r>
          </w:p>
        </w:tc>
        <w:tc>
          <w:tcPr>
            <w:tcW w:w="7587" w:type="dxa"/>
            <w:vAlign w:val="center"/>
          </w:tcPr>
          <w:p>
            <w:pPr>
              <w:jc w:val="left"/>
              <w:rPr>
                <w:rFonts w:hAnsi="宋体" w:cs="宋体"/>
                <w:b/>
                <w:sz w:val="24"/>
                <w:szCs w:val="24"/>
              </w:rPr>
            </w:pPr>
            <w:r>
              <w:rPr>
                <w:rFonts w:hint="eastAsia" w:hAnsi="宋体" w:cs="宋体"/>
                <w:b/>
                <w:sz w:val="24"/>
                <w:szCs w:val="24"/>
              </w:rPr>
              <w:t>投标保证金</w:t>
            </w:r>
          </w:p>
          <w:p>
            <w:pPr>
              <w:numPr>
                <w:ilvl w:val="0"/>
                <w:numId w:val="3"/>
              </w:numPr>
              <w:jc w:val="left"/>
              <w:rPr>
                <w:rFonts w:hAnsi="宋体" w:cs="宋体"/>
                <w:bCs/>
                <w:sz w:val="24"/>
                <w:szCs w:val="24"/>
              </w:rPr>
            </w:pPr>
            <w:r>
              <w:rPr>
                <w:rFonts w:hint="eastAsia" w:hAnsi="宋体" w:cs="宋体"/>
                <w:bCs/>
                <w:sz w:val="24"/>
                <w:szCs w:val="24"/>
              </w:rPr>
              <w:t>投标保证金形式：电汇、网银转账。</w:t>
            </w:r>
          </w:p>
          <w:p>
            <w:pPr>
              <w:numPr>
                <w:ilvl w:val="0"/>
                <w:numId w:val="3"/>
              </w:numPr>
              <w:jc w:val="left"/>
              <w:rPr>
                <w:rFonts w:hAnsi="宋体" w:cs="宋体"/>
                <w:bCs/>
                <w:sz w:val="24"/>
                <w:szCs w:val="24"/>
              </w:rPr>
            </w:pPr>
            <w:r>
              <w:rPr>
                <w:rFonts w:hint="eastAsia" w:hAnsi="宋体" w:cs="宋体"/>
                <w:bCs/>
                <w:sz w:val="24"/>
                <w:szCs w:val="24"/>
              </w:rPr>
              <w:t>投标保证金金额：人民币</w:t>
            </w:r>
            <w:r>
              <w:rPr>
                <w:rFonts w:hint="eastAsia" w:hAnsi="宋体" w:cs="宋体"/>
                <w:bCs/>
                <w:sz w:val="24"/>
                <w:szCs w:val="24"/>
                <w:u w:val="single"/>
              </w:rPr>
              <w:t>1</w:t>
            </w:r>
            <w:r>
              <w:rPr>
                <w:rFonts w:hint="eastAsia" w:hAnsi="宋体" w:cs="宋体"/>
                <w:bCs/>
                <w:sz w:val="24"/>
                <w:szCs w:val="24"/>
              </w:rPr>
              <w:t>万元整（大写：壹万元整）</w:t>
            </w:r>
          </w:p>
          <w:p>
            <w:pPr>
              <w:numPr>
                <w:ilvl w:val="0"/>
                <w:numId w:val="3"/>
              </w:numPr>
              <w:jc w:val="left"/>
              <w:rPr>
                <w:rFonts w:hAnsi="宋体" w:cs="宋体"/>
                <w:bCs/>
                <w:sz w:val="24"/>
              </w:rPr>
            </w:pPr>
            <w:r>
              <w:rPr>
                <w:rFonts w:hint="eastAsia" w:hAnsi="宋体" w:cs="宋体"/>
                <w:bCs/>
                <w:sz w:val="24"/>
              </w:rPr>
              <w:t>递交截止时间：投标截止之日的前一个工作日下午16：00之前（以到账时间为准）。</w:t>
            </w:r>
          </w:p>
          <w:p>
            <w:pPr>
              <w:jc w:val="left"/>
              <w:rPr>
                <w:rFonts w:hAnsi="宋体" w:cs="宋体"/>
                <w:bCs/>
                <w:sz w:val="24"/>
              </w:rPr>
            </w:pPr>
            <w:r>
              <w:rPr>
                <w:rFonts w:hint="eastAsia" w:hAnsi="宋体" w:cs="宋体"/>
                <w:bCs/>
                <w:sz w:val="24"/>
              </w:rPr>
              <w:t>4、投标保证金的退还</w:t>
            </w:r>
          </w:p>
          <w:p>
            <w:pPr>
              <w:jc w:val="left"/>
              <w:rPr>
                <w:rFonts w:hAnsi="宋体" w:cs="宋体"/>
                <w:bCs/>
                <w:sz w:val="24"/>
              </w:rPr>
            </w:pPr>
            <w:r>
              <w:rPr>
                <w:rFonts w:hint="eastAsia" w:hAnsi="宋体" w:cs="宋体"/>
                <w:bCs/>
                <w:sz w:val="24"/>
              </w:rPr>
              <w:t>最迟在合同签订后5日内向中标人和未中标的投标人退还投标保证金</w:t>
            </w:r>
            <w:r>
              <w:rPr>
                <w:rFonts w:hint="eastAsia" w:hAnsi="宋体" w:cs="宋体"/>
                <w:bCs/>
                <w:sz w:val="24"/>
                <w:szCs w:val="24"/>
              </w:rPr>
              <w:t>（无利息）</w:t>
            </w:r>
            <w:r>
              <w:rPr>
                <w:rFonts w:hint="eastAsia" w:hAnsi="宋体" w:cs="宋体"/>
                <w:bCs/>
                <w:sz w:val="24"/>
              </w:rPr>
              <w:t>。</w:t>
            </w:r>
          </w:p>
          <w:p>
            <w:pPr>
              <w:jc w:val="left"/>
              <w:rPr>
                <w:rFonts w:hAnsi="宋体" w:cs="宋体"/>
                <w:bCs/>
                <w:sz w:val="24"/>
              </w:rPr>
            </w:pPr>
            <w:r>
              <w:rPr>
                <w:rFonts w:hint="eastAsia" w:hAnsi="宋体" w:cs="宋体"/>
                <w:b/>
                <w:sz w:val="24"/>
              </w:rPr>
              <w:t>履约保证金</w:t>
            </w:r>
          </w:p>
          <w:p>
            <w:pPr>
              <w:jc w:val="left"/>
              <w:rPr>
                <w:rFonts w:hAnsi="宋体" w:cs="宋体"/>
                <w:bCs/>
                <w:sz w:val="24"/>
                <w:szCs w:val="24"/>
              </w:rPr>
            </w:pPr>
            <w:r>
              <w:rPr>
                <w:rFonts w:hint="eastAsia" w:hAnsi="宋体" w:cs="宋体"/>
                <w:bCs/>
                <w:sz w:val="24"/>
              </w:rPr>
              <w:t>1、</w:t>
            </w:r>
            <w:r>
              <w:rPr>
                <w:rFonts w:hint="eastAsia" w:hAnsi="宋体" w:cs="宋体"/>
                <w:bCs/>
                <w:sz w:val="24"/>
                <w:szCs w:val="24"/>
              </w:rPr>
              <w:t>履约保证金形式：电汇、网银转账。</w:t>
            </w:r>
          </w:p>
          <w:p>
            <w:pPr>
              <w:jc w:val="left"/>
              <w:rPr>
                <w:rFonts w:hAnsi="宋体" w:cs="宋体"/>
                <w:bCs/>
                <w:sz w:val="24"/>
                <w:szCs w:val="24"/>
              </w:rPr>
            </w:pPr>
            <w:r>
              <w:rPr>
                <w:rFonts w:hint="eastAsia" w:hAnsi="宋体" w:cs="宋体"/>
                <w:bCs/>
                <w:sz w:val="24"/>
                <w:szCs w:val="24"/>
              </w:rPr>
              <w:t>2、履约保证金金额：暂定100000元（壹拾万元整）。</w:t>
            </w:r>
          </w:p>
          <w:p>
            <w:pPr>
              <w:jc w:val="left"/>
              <w:rPr>
                <w:rFonts w:hAnsi="宋体" w:cs="宋体"/>
                <w:bCs/>
                <w:sz w:val="24"/>
                <w:szCs w:val="24"/>
              </w:rPr>
            </w:pPr>
            <w:r>
              <w:rPr>
                <w:rFonts w:hint="eastAsia" w:hAnsi="宋体" w:cs="宋体"/>
                <w:bCs/>
                <w:sz w:val="24"/>
              </w:rPr>
              <w:t>3、递交时间：</w:t>
            </w:r>
            <w:r>
              <w:rPr>
                <w:rFonts w:hint="eastAsia" w:hAnsi="宋体" w:cs="宋体"/>
                <w:bCs/>
                <w:sz w:val="24"/>
                <w:szCs w:val="24"/>
              </w:rPr>
              <w:t>在进度款中先扣除</w:t>
            </w:r>
          </w:p>
          <w:p>
            <w:pPr>
              <w:jc w:val="left"/>
              <w:rPr>
                <w:rFonts w:hAnsi="宋体" w:cs="宋体"/>
                <w:bCs/>
                <w:sz w:val="24"/>
                <w:szCs w:val="24"/>
              </w:rPr>
            </w:pPr>
            <w:r>
              <w:rPr>
                <w:rFonts w:hint="eastAsia" w:hAnsi="宋体" w:cs="宋体"/>
                <w:bCs/>
                <w:sz w:val="24"/>
                <w:szCs w:val="24"/>
              </w:rPr>
              <w:t>4、履约保证金的上交及退还</w:t>
            </w:r>
          </w:p>
          <w:p>
            <w:pPr>
              <w:jc w:val="left"/>
              <w:rPr>
                <w:rFonts w:hAnsi="宋体" w:cs="宋体"/>
                <w:b/>
                <w:sz w:val="24"/>
              </w:rPr>
            </w:pPr>
            <w:r>
              <w:rPr>
                <w:rFonts w:hint="eastAsia" w:hAnsi="宋体" w:cs="宋体"/>
                <w:bCs/>
                <w:sz w:val="24"/>
                <w:szCs w:val="24"/>
              </w:rPr>
              <w:t>待土方工程完工后，经验收合格后随进度款支付（无利息）。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512" w:type="dxa"/>
            <w:vAlign w:val="center"/>
          </w:tcPr>
          <w:p>
            <w:pPr>
              <w:jc w:val="center"/>
              <w:rPr>
                <w:rFonts w:hAnsi="宋体" w:cs="宋体"/>
                <w:sz w:val="24"/>
              </w:rPr>
            </w:pPr>
            <w:r>
              <w:rPr>
                <w:rFonts w:hint="eastAsia" w:hAnsi="宋体" w:cs="宋体"/>
                <w:sz w:val="24"/>
              </w:rPr>
              <w:t>14</w:t>
            </w:r>
          </w:p>
        </w:tc>
        <w:tc>
          <w:tcPr>
            <w:tcW w:w="1302" w:type="dxa"/>
            <w:vAlign w:val="center"/>
          </w:tcPr>
          <w:p>
            <w:pPr>
              <w:jc w:val="center"/>
              <w:rPr>
                <w:rFonts w:hAnsi="宋体" w:cs="宋体"/>
                <w:sz w:val="24"/>
              </w:rPr>
            </w:pPr>
            <w:r>
              <w:rPr>
                <w:rFonts w:hint="eastAsia" w:hAnsi="宋体" w:cs="宋体"/>
                <w:sz w:val="24"/>
              </w:rPr>
              <w:t>招标方式</w:t>
            </w:r>
          </w:p>
        </w:tc>
        <w:tc>
          <w:tcPr>
            <w:tcW w:w="7587" w:type="dxa"/>
            <w:vAlign w:val="center"/>
          </w:tcPr>
          <w:p>
            <w:pPr>
              <w:jc w:val="left"/>
              <w:rPr>
                <w:rFonts w:hAnsi="宋体" w:cs="宋体"/>
                <w:b/>
                <w:sz w:val="24"/>
                <w:szCs w:val="24"/>
              </w:rPr>
            </w:pPr>
            <w:r>
              <w:rPr>
                <w:rFonts w:hint="eastAsia" w:hAnsi="宋体" w:cs="宋体"/>
                <w:bCs/>
                <w:sz w:val="24"/>
                <w:szCs w:val="24"/>
              </w:rPr>
              <w:t>公开招标，先招后议。本次投标在中采网招标平台上进行。平台网址为：http://webbiao.com</w:t>
            </w:r>
            <w:bookmarkStart w:id="3" w:name="_GoBack"/>
            <w:bookmarkEnd w:id="3"/>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512" w:type="dxa"/>
            <w:vAlign w:val="center"/>
          </w:tcPr>
          <w:p>
            <w:pPr>
              <w:jc w:val="center"/>
              <w:rPr>
                <w:rFonts w:hAnsi="宋体" w:cs="宋体"/>
                <w:sz w:val="24"/>
              </w:rPr>
            </w:pPr>
            <w:r>
              <w:rPr>
                <w:rFonts w:hint="eastAsia" w:hAnsi="宋体" w:cs="宋体"/>
                <w:sz w:val="24"/>
              </w:rPr>
              <w:t>15</w:t>
            </w:r>
          </w:p>
        </w:tc>
        <w:tc>
          <w:tcPr>
            <w:tcW w:w="1302" w:type="dxa"/>
            <w:vAlign w:val="center"/>
          </w:tcPr>
          <w:p>
            <w:pPr>
              <w:jc w:val="center"/>
              <w:rPr>
                <w:rFonts w:hAnsi="宋体" w:cs="宋体"/>
                <w:sz w:val="24"/>
              </w:rPr>
            </w:pPr>
            <w:r>
              <w:rPr>
                <w:rFonts w:hint="eastAsia" w:hAnsi="宋体" w:cs="宋体"/>
                <w:sz w:val="24"/>
              </w:rPr>
              <w:t>网上开标时间</w:t>
            </w:r>
          </w:p>
        </w:tc>
        <w:tc>
          <w:tcPr>
            <w:tcW w:w="7587" w:type="dxa"/>
            <w:vAlign w:val="center"/>
          </w:tcPr>
          <w:p>
            <w:pPr>
              <w:jc w:val="left"/>
              <w:rPr>
                <w:rFonts w:hAnsi="宋体" w:cs="宋体"/>
                <w:b/>
                <w:sz w:val="24"/>
              </w:rPr>
            </w:pPr>
            <w:r>
              <w:rPr>
                <w:rFonts w:hint="eastAsia" w:hAnsi="宋体" w:cs="宋体"/>
                <w:bCs/>
                <w:sz w:val="24"/>
                <w:szCs w:val="24"/>
              </w:rPr>
              <w:t>开标时间: 2020年</w:t>
            </w:r>
            <w:r>
              <w:rPr>
                <w:rFonts w:hAnsi="宋体" w:cs="宋体"/>
                <w:bCs/>
                <w:sz w:val="24"/>
                <w:szCs w:val="24"/>
              </w:rPr>
              <w:t>7</w:t>
            </w:r>
            <w:r>
              <w:rPr>
                <w:rFonts w:hint="eastAsia" w:hAnsi="宋体" w:cs="宋体"/>
                <w:bCs/>
                <w:sz w:val="24"/>
                <w:szCs w:val="24"/>
              </w:rPr>
              <w:t>月</w:t>
            </w:r>
            <w:r>
              <w:rPr>
                <w:rFonts w:hint="eastAsia" w:hAnsi="宋体" w:cs="宋体"/>
                <w:bCs/>
                <w:sz w:val="24"/>
                <w:szCs w:val="24"/>
                <w:lang w:val="en-US" w:eastAsia="zh-CN"/>
              </w:rPr>
              <w:t>4</w:t>
            </w:r>
            <w:r>
              <w:rPr>
                <w:rFonts w:hint="eastAsia" w:hAnsi="宋体" w:cs="宋体"/>
                <w:bCs/>
                <w:sz w:val="24"/>
                <w:szCs w:val="24"/>
              </w:rPr>
              <w:t>日上午10时00分，如有变动，电话通知。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12" w:type="dxa"/>
            <w:vAlign w:val="center"/>
          </w:tcPr>
          <w:p>
            <w:pPr>
              <w:jc w:val="center"/>
              <w:rPr>
                <w:rFonts w:hAnsi="宋体" w:cs="宋体"/>
                <w:sz w:val="24"/>
              </w:rPr>
            </w:pPr>
            <w:r>
              <w:rPr>
                <w:rFonts w:hint="eastAsia" w:hAnsi="宋体" w:cs="宋体"/>
                <w:sz w:val="24"/>
              </w:rPr>
              <w:t>16</w:t>
            </w:r>
          </w:p>
        </w:tc>
        <w:tc>
          <w:tcPr>
            <w:tcW w:w="1302" w:type="dxa"/>
            <w:vAlign w:val="center"/>
          </w:tcPr>
          <w:p>
            <w:pPr>
              <w:jc w:val="center"/>
              <w:rPr>
                <w:rFonts w:hAnsi="宋体" w:cs="宋体"/>
                <w:sz w:val="24"/>
              </w:rPr>
            </w:pPr>
            <w:r>
              <w:rPr>
                <w:rFonts w:hint="eastAsia" w:hAnsi="宋体" w:cs="宋体"/>
                <w:sz w:val="24"/>
              </w:rPr>
              <w:t>谈判时间及地点</w:t>
            </w:r>
          </w:p>
        </w:tc>
        <w:tc>
          <w:tcPr>
            <w:tcW w:w="7587" w:type="dxa"/>
            <w:vAlign w:val="center"/>
          </w:tcPr>
          <w:p>
            <w:pPr>
              <w:jc w:val="left"/>
              <w:rPr>
                <w:rFonts w:hAnsi="宋体" w:cs="宋体"/>
                <w:b/>
                <w:sz w:val="24"/>
              </w:rPr>
            </w:pPr>
            <w:r>
              <w:rPr>
                <w:rFonts w:hint="eastAsia" w:hAnsi="宋体" w:cs="宋体"/>
                <w:bCs/>
                <w:sz w:val="24"/>
                <w:szCs w:val="24"/>
              </w:rPr>
              <w:t>谈判时间另行通知；谈判地点为河北省保定市容城县容城镇茂丰假日酒店三层河北建工集团。（项目部视情况，如必要时可电话谈判）</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02"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17</w:t>
            </w:r>
          </w:p>
        </w:tc>
        <w:tc>
          <w:tcPr>
            <w:tcW w:w="1302" w:type="dxa"/>
            <w:vAlign w:val="center"/>
          </w:tcPr>
          <w:p>
            <w:pPr>
              <w:jc w:val="center"/>
              <w:rPr>
                <w:rFonts w:hAnsi="宋体" w:cs="宋体"/>
                <w:bCs/>
                <w:spacing w:val="8"/>
                <w:sz w:val="24"/>
              </w:rPr>
            </w:pPr>
            <w:r>
              <w:rPr>
                <w:rFonts w:hint="eastAsia" w:hAnsi="宋体" w:cs="宋体"/>
                <w:bCs/>
                <w:spacing w:val="8"/>
                <w:sz w:val="24"/>
              </w:rPr>
              <w:t>开标须知</w:t>
            </w:r>
          </w:p>
        </w:tc>
        <w:tc>
          <w:tcPr>
            <w:tcW w:w="7587" w:type="dxa"/>
            <w:vAlign w:val="center"/>
          </w:tcPr>
          <w:p>
            <w:pPr>
              <w:jc w:val="left"/>
              <w:rPr>
                <w:rFonts w:hAnsi="宋体" w:cs="宋体"/>
                <w:bCs/>
                <w:sz w:val="24"/>
                <w:szCs w:val="24"/>
              </w:rPr>
            </w:pPr>
            <w:r>
              <w:rPr>
                <w:rFonts w:hint="eastAsia" w:hAnsi="宋体" w:cs="宋体"/>
                <w:bCs/>
                <w:sz w:val="24"/>
                <w:szCs w:val="24"/>
              </w:rPr>
              <w:t>1、本次招标网上竞标在物流平台进行。</w:t>
            </w:r>
          </w:p>
          <w:p>
            <w:pPr>
              <w:jc w:val="left"/>
              <w:rPr>
                <w:rFonts w:hAnsi="宋体" w:cs="宋体"/>
                <w:bCs/>
                <w:sz w:val="24"/>
                <w:szCs w:val="24"/>
              </w:rPr>
            </w:pPr>
            <w:r>
              <w:rPr>
                <w:rFonts w:hint="eastAsia" w:hAnsi="宋体" w:cs="宋体"/>
                <w:bCs/>
                <w:sz w:val="24"/>
                <w:szCs w:val="24"/>
              </w:rPr>
              <w:t>2、开标时，有下列情况之一的，作为无效投标文件。</w:t>
            </w:r>
          </w:p>
          <w:p>
            <w:pPr>
              <w:jc w:val="left"/>
              <w:rPr>
                <w:rFonts w:hAnsi="宋体" w:cs="宋体"/>
                <w:bCs/>
                <w:sz w:val="24"/>
                <w:szCs w:val="24"/>
              </w:rPr>
            </w:pPr>
            <w:r>
              <w:rPr>
                <w:rFonts w:hint="eastAsia" w:hAnsi="宋体" w:cs="宋体"/>
                <w:bCs/>
                <w:sz w:val="24"/>
                <w:szCs w:val="24"/>
              </w:rPr>
              <w:t>①投标人未按招标文件的要求提供投标保证金的。</w:t>
            </w:r>
          </w:p>
          <w:p>
            <w:pPr>
              <w:jc w:val="left"/>
              <w:rPr>
                <w:rFonts w:hAnsi="宋体" w:cs="宋体"/>
                <w:b/>
                <w:bCs/>
                <w:spacing w:val="8"/>
                <w:sz w:val="24"/>
              </w:rPr>
            </w:pPr>
            <w:r>
              <w:rPr>
                <w:rFonts w:hint="eastAsia" w:hAnsi="宋体"/>
                <w:bCs/>
                <w:spacing w:val="8"/>
                <w:sz w:val="24"/>
              </w:rPr>
              <w:t>②</w:t>
            </w:r>
            <w:r>
              <w:rPr>
                <w:rFonts w:hint="eastAsia" w:hAnsi="宋体" w:cs="宋体"/>
                <w:bCs/>
                <w:sz w:val="24"/>
                <w:szCs w:val="24"/>
              </w:rPr>
              <w:t>投标人未按招标文件要求报价、恶意低价中标。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5"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18</w:t>
            </w:r>
          </w:p>
        </w:tc>
        <w:tc>
          <w:tcPr>
            <w:tcW w:w="1302" w:type="dxa"/>
            <w:vAlign w:val="center"/>
          </w:tcPr>
          <w:p>
            <w:pPr>
              <w:jc w:val="center"/>
              <w:rPr>
                <w:rFonts w:hAnsi="宋体" w:cs="宋体"/>
                <w:bCs/>
                <w:spacing w:val="8"/>
                <w:sz w:val="24"/>
              </w:rPr>
            </w:pPr>
            <w:r>
              <w:rPr>
                <w:rFonts w:hint="eastAsia" w:hAnsi="宋体" w:cs="宋体"/>
                <w:bCs/>
                <w:spacing w:val="8"/>
                <w:sz w:val="24"/>
              </w:rPr>
              <w:t>开标程序</w:t>
            </w:r>
          </w:p>
        </w:tc>
        <w:tc>
          <w:tcPr>
            <w:tcW w:w="7587" w:type="dxa"/>
            <w:vAlign w:val="center"/>
          </w:tcPr>
          <w:p>
            <w:pPr>
              <w:ind w:firstLine="482" w:firstLineChars="200"/>
              <w:jc w:val="left"/>
              <w:rPr>
                <w:rFonts w:hAnsi="宋体" w:cs="宋体"/>
                <w:b/>
                <w:sz w:val="24"/>
                <w:szCs w:val="24"/>
              </w:rPr>
            </w:pPr>
            <w:r>
              <w:rPr>
                <w:rFonts w:hint="eastAsia" w:hAnsi="宋体" w:cs="宋体"/>
                <w:b/>
                <w:sz w:val="24"/>
                <w:szCs w:val="24"/>
              </w:rPr>
              <w:t>开标程序分为网上竞价阶段和谈判阶段。投标单位应大于5家，不满足要求时推迟开标。</w:t>
            </w:r>
          </w:p>
          <w:p>
            <w:pPr>
              <w:ind w:firstLine="482" w:firstLineChars="200"/>
              <w:jc w:val="left"/>
              <w:rPr>
                <w:rFonts w:hAnsi="宋体" w:cs="宋体"/>
                <w:b/>
                <w:sz w:val="24"/>
                <w:szCs w:val="24"/>
              </w:rPr>
            </w:pPr>
            <w:r>
              <w:rPr>
                <w:rFonts w:hint="eastAsia" w:hAnsi="宋体" w:cs="宋体"/>
                <w:b/>
                <w:sz w:val="24"/>
                <w:szCs w:val="24"/>
              </w:rPr>
              <w:t>1、竞价阶段：</w:t>
            </w:r>
          </w:p>
          <w:p>
            <w:pPr>
              <w:ind w:firstLine="482" w:firstLineChars="200"/>
              <w:jc w:val="left"/>
              <w:rPr>
                <w:rFonts w:hAnsi="宋体" w:cs="宋体"/>
                <w:b/>
                <w:sz w:val="24"/>
                <w:szCs w:val="24"/>
              </w:rPr>
            </w:pPr>
            <w:r>
              <w:rPr>
                <w:rFonts w:hint="eastAsia" w:hAnsi="宋体" w:cs="宋体"/>
                <w:b/>
                <w:sz w:val="24"/>
                <w:szCs w:val="24"/>
              </w:rPr>
              <w:t>在电子商务平台综合评标系统进行投标。采用投标报价高位淘汰方式。</w:t>
            </w:r>
          </w:p>
          <w:p>
            <w:pPr>
              <w:ind w:firstLine="482" w:firstLineChars="200"/>
              <w:jc w:val="left"/>
              <w:rPr>
                <w:rFonts w:hAnsi="宋体" w:cs="宋体"/>
                <w:b/>
                <w:sz w:val="24"/>
                <w:szCs w:val="24"/>
              </w:rPr>
            </w:pPr>
            <w:r>
              <w:rPr>
                <w:rFonts w:hint="eastAsia" w:hAnsi="宋体" w:cs="宋体"/>
                <w:b/>
                <w:sz w:val="24"/>
                <w:szCs w:val="24"/>
              </w:rPr>
              <w:t>采用三轮报价，第一轮不淘汰，第二轮淘汰后剩余70%，第三轮淘汰后剩余3家进入谈判阶段。</w:t>
            </w:r>
          </w:p>
          <w:p>
            <w:pPr>
              <w:ind w:firstLine="482" w:firstLineChars="200"/>
              <w:jc w:val="left"/>
              <w:rPr>
                <w:rFonts w:hAnsi="宋体" w:cs="宋体"/>
                <w:b/>
                <w:sz w:val="24"/>
                <w:szCs w:val="24"/>
              </w:rPr>
            </w:pPr>
            <w:r>
              <w:rPr>
                <w:rFonts w:hint="eastAsia" w:hAnsi="宋体" w:cs="宋体"/>
                <w:b/>
                <w:sz w:val="24"/>
                <w:szCs w:val="24"/>
              </w:rPr>
              <w:t>报价时间间隔为30分钟。</w:t>
            </w:r>
          </w:p>
          <w:p>
            <w:pPr>
              <w:ind w:firstLine="482" w:firstLineChars="200"/>
              <w:jc w:val="left"/>
              <w:rPr>
                <w:rFonts w:hAnsi="宋体" w:cs="宋体"/>
                <w:b/>
                <w:sz w:val="24"/>
                <w:szCs w:val="24"/>
              </w:rPr>
            </w:pPr>
            <w:r>
              <w:rPr>
                <w:rFonts w:hint="eastAsia" w:hAnsi="宋体" w:cs="宋体"/>
                <w:b/>
                <w:sz w:val="24"/>
                <w:szCs w:val="24"/>
              </w:rPr>
              <w:t>2、谈判阶段：</w:t>
            </w:r>
          </w:p>
          <w:p>
            <w:pPr>
              <w:snapToGrid w:val="0"/>
              <w:ind w:firstLine="482" w:firstLineChars="200"/>
              <w:rPr>
                <w:rFonts w:hAnsi="宋体" w:cs="宋体"/>
                <w:sz w:val="28"/>
                <w:szCs w:val="28"/>
              </w:rPr>
            </w:pPr>
            <w:r>
              <w:rPr>
                <w:rFonts w:hint="eastAsia" w:hAnsi="宋体" w:cs="宋体"/>
                <w:b/>
                <w:sz w:val="24"/>
                <w:szCs w:val="24"/>
              </w:rPr>
              <w:t>进入谈判阶段的投标单位需提供装订成册并按格式要求盖章签字的投标文件正本1份，副本2份（商务报价部分按最后一轮网上竞价填写）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7"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19</w:t>
            </w:r>
          </w:p>
        </w:tc>
        <w:tc>
          <w:tcPr>
            <w:tcW w:w="1302" w:type="dxa"/>
            <w:vAlign w:val="center"/>
          </w:tcPr>
          <w:p>
            <w:pPr>
              <w:jc w:val="center"/>
              <w:rPr>
                <w:rFonts w:hAnsi="宋体" w:cs="宋体"/>
                <w:bCs/>
                <w:spacing w:val="8"/>
                <w:sz w:val="24"/>
              </w:rPr>
            </w:pPr>
            <w:r>
              <w:rPr>
                <w:rFonts w:hint="eastAsia" w:hAnsi="宋体" w:cs="宋体"/>
                <w:bCs/>
                <w:spacing w:val="8"/>
                <w:sz w:val="24"/>
              </w:rPr>
              <w:t>评标委员会组成</w:t>
            </w:r>
          </w:p>
        </w:tc>
        <w:tc>
          <w:tcPr>
            <w:tcW w:w="7587" w:type="dxa"/>
            <w:vAlign w:val="center"/>
          </w:tcPr>
          <w:p>
            <w:pPr>
              <w:jc w:val="left"/>
              <w:rPr>
                <w:rFonts w:hAnsi="宋体"/>
                <w:bCs/>
                <w:spacing w:val="8"/>
                <w:sz w:val="24"/>
              </w:rPr>
            </w:pPr>
            <w:r>
              <w:rPr>
                <w:rFonts w:hint="eastAsia" w:hAnsi="宋体"/>
                <w:bCs/>
                <w:spacing w:val="8"/>
                <w:sz w:val="24"/>
              </w:rPr>
              <w:t>评委组成：</w:t>
            </w:r>
            <w:r>
              <w:rPr>
                <w:rFonts w:hint="eastAsia" w:hAnsi="宋体" w:cs="宋体"/>
                <w:bCs/>
                <w:spacing w:val="8"/>
                <w:sz w:val="24"/>
              </w:rPr>
              <w:t>集团公司评标委员会，</w:t>
            </w:r>
            <w:r>
              <w:rPr>
                <w:rFonts w:hint="eastAsia" w:hAnsi="宋体"/>
                <w:bCs/>
                <w:spacing w:val="8"/>
                <w:sz w:val="24"/>
              </w:rPr>
              <w:t>总评委人数为单数。</w:t>
            </w:r>
          </w:p>
          <w:p>
            <w:pPr>
              <w:jc w:val="left"/>
              <w:rPr>
                <w:rFonts w:hAnsi="宋体" w:cs="宋体"/>
                <w:bCs/>
                <w:spacing w:val="8"/>
                <w:sz w:val="24"/>
              </w:rPr>
            </w:pPr>
            <w:r>
              <w:rPr>
                <w:rFonts w:hint="eastAsia" w:hAnsi="宋体"/>
                <w:bCs/>
                <w:spacing w:val="8"/>
                <w:sz w:val="24"/>
              </w:rPr>
              <w:t>监督人组成：指派1-2人，负责监督开标谈判过程及对投标人的资质审查工作等。</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20</w:t>
            </w:r>
          </w:p>
        </w:tc>
        <w:tc>
          <w:tcPr>
            <w:tcW w:w="1302" w:type="dxa"/>
            <w:vAlign w:val="center"/>
          </w:tcPr>
          <w:p>
            <w:pPr>
              <w:jc w:val="center"/>
              <w:rPr>
                <w:rFonts w:hAnsi="宋体" w:cs="宋体"/>
                <w:bCs/>
                <w:spacing w:val="8"/>
                <w:sz w:val="24"/>
              </w:rPr>
            </w:pPr>
            <w:r>
              <w:rPr>
                <w:rFonts w:hint="eastAsia" w:hAnsi="宋体" w:cs="宋体"/>
                <w:bCs/>
                <w:spacing w:val="8"/>
                <w:sz w:val="24"/>
              </w:rPr>
              <w:t>确定中标人</w:t>
            </w:r>
          </w:p>
        </w:tc>
        <w:tc>
          <w:tcPr>
            <w:tcW w:w="7587" w:type="dxa"/>
            <w:vAlign w:val="center"/>
          </w:tcPr>
          <w:p>
            <w:pPr>
              <w:jc w:val="left"/>
              <w:rPr>
                <w:rFonts w:hAnsi="宋体" w:cs="宋体"/>
                <w:b/>
                <w:bCs/>
                <w:spacing w:val="8"/>
                <w:sz w:val="24"/>
              </w:rPr>
            </w:pPr>
            <w:r>
              <w:rPr>
                <w:rFonts w:hint="eastAsia" w:hAnsi="宋体" w:cs="宋体"/>
                <w:b/>
                <w:bCs/>
                <w:spacing w:val="8"/>
                <w:sz w:val="24"/>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21</w:t>
            </w:r>
          </w:p>
        </w:tc>
        <w:tc>
          <w:tcPr>
            <w:tcW w:w="1302" w:type="dxa"/>
            <w:vAlign w:val="center"/>
          </w:tcPr>
          <w:p>
            <w:pPr>
              <w:jc w:val="center"/>
              <w:rPr>
                <w:rFonts w:hAnsi="宋体" w:cs="宋体"/>
                <w:bCs/>
                <w:spacing w:val="8"/>
                <w:sz w:val="24"/>
              </w:rPr>
            </w:pPr>
            <w:r>
              <w:rPr>
                <w:rFonts w:hint="eastAsia" w:hAnsi="宋体" w:cs="宋体"/>
                <w:bCs/>
                <w:spacing w:val="8"/>
                <w:sz w:val="24"/>
              </w:rPr>
              <w:t>履约担保</w:t>
            </w:r>
          </w:p>
        </w:tc>
        <w:tc>
          <w:tcPr>
            <w:tcW w:w="7587" w:type="dxa"/>
            <w:vAlign w:val="center"/>
          </w:tcPr>
          <w:p>
            <w:pPr>
              <w:jc w:val="left"/>
              <w:rPr>
                <w:rFonts w:hAnsi="宋体" w:cs="宋体"/>
                <w:bCs/>
                <w:spacing w:val="8"/>
                <w:sz w:val="24"/>
              </w:rPr>
            </w:pPr>
            <w:r>
              <w:rPr>
                <w:rFonts w:hint="eastAsia" w:hAnsi="宋体" w:cs="宋体"/>
                <w:bCs/>
                <w:spacing w:val="8"/>
                <w:sz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512" w:type="dxa"/>
            <w:vAlign w:val="center"/>
          </w:tcPr>
          <w:p>
            <w:pPr>
              <w:jc w:val="center"/>
              <w:rPr>
                <w:rFonts w:hAnsi="宋体" w:cs="宋体"/>
                <w:sz w:val="24"/>
              </w:rPr>
            </w:pPr>
            <w:r>
              <w:rPr>
                <w:rFonts w:hint="eastAsia" w:hAnsi="宋体" w:cs="宋体"/>
                <w:sz w:val="24"/>
              </w:rPr>
              <w:t>22</w:t>
            </w:r>
          </w:p>
        </w:tc>
        <w:tc>
          <w:tcPr>
            <w:tcW w:w="1302" w:type="dxa"/>
            <w:vAlign w:val="center"/>
          </w:tcPr>
          <w:p>
            <w:pPr>
              <w:jc w:val="center"/>
              <w:rPr>
                <w:rFonts w:hAnsi="宋体" w:cs="宋体"/>
                <w:sz w:val="24"/>
              </w:rPr>
            </w:pPr>
            <w:r>
              <w:rPr>
                <w:rFonts w:hint="eastAsia" w:hAnsi="宋体" w:cs="宋体"/>
                <w:sz w:val="24"/>
              </w:rPr>
              <w:t>投标服务费</w:t>
            </w:r>
          </w:p>
        </w:tc>
        <w:tc>
          <w:tcPr>
            <w:tcW w:w="7587" w:type="dxa"/>
            <w:vAlign w:val="center"/>
          </w:tcPr>
          <w:p>
            <w:pPr>
              <w:tabs>
                <w:tab w:val="left" w:pos="3203"/>
                <w:tab w:val="center" w:pos="4350"/>
              </w:tabs>
              <w:ind w:right="51" w:rightChars="15"/>
              <w:rPr>
                <w:rFonts w:hAnsi="宋体" w:cs="宋体"/>
                <w:sz w:val="24"/>
              </w:rPr>
            </w:pPr>
            <w:r>
              <w:rPr>
                <w:rFonts w:hint="eastAsia" w:hAnsi="宋体" w:cs="宋体"/>
                <w:sz w:val="24"/>
              </w:rPr>
              <w:t>确定中标人后，2日内由中标人向中采网平台缴纳中标价1‰的电子投标服务费（中标人承担）</w:t>
            </w:r>
            <w:r>
              <w:rPr>
                <w:rFonts w:hint="eastAsia" w:hAnsi="宋体"/>
                <w:bCs/>
                <w:spacing w:val="8"/>
                <w:sz w:val="24"/>
              </w:rPr>
              <w:t>最高不超过10000.00元（大写：壹万元整）</w:t>
            </w:r>
            <w:r>
              <w:rPr>
                <w:rFonts w:hint="eastAsia" w:hAnsi="宋体" w:cs="宋体"/>
                <w:sz w:val="24"/>
              </w:rPr>
              <w:t>。形式及账户见本表13条：投标保证金。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2" w:hRule="exact"/>
          <w:jc w:val="center"/>
        </w:trPr>
        <w:tc>
          <w:tcPr>
            <w:tcW w:w="512" w:type="dxa"/>
            <w:vAlign w:val="center"/>
          </w:tcPr>
          <w:p>
            <w:pPr>
              <w:jc w:val="center"/>
              <w:rPr>
                <w:rFonts w:hAnsi="宋体" w:cs="宋体"/>
                <w:sz w:val="24"/>
              </w:rPr>
            </w:pPr>
            <w:r>
              <w:rPr>
                <w:rFonts w:hint="eastAsia" w:hAnsi="宋体" w:cs="宋体"/>
                <w:sz w:val="24"/>
              </w:rPr>
              <w:t>23</w:t>
            </w:r>
          </w:p>
        </w:tc>
        <w:tc>
          <w:tcPr>
            <w:tcW w:w="1302" w:type="dxa"/>
            <w:vAlign w:val="center"/>
          </w:tcPr>
          <w:p>
            <w:pPr>
              <w:jc w:val="center"/>
              <w:rPr>
                <w:rFonts w:hAnsi="宋体" w:cs="宋体"/>
                <w:sz w:val="24"/>
              </w:rPr>
            </w:pPr>
            <w:r>
              <w:rPr>
                <w:rFonts w:hint="eastAsia" w:hAnsi="宋体" w:cs="宋体"/>
                <w:sz w:val="24"/>
              </w:rPr>
              <w:t>招标人联系方法</w:t>
            </w:r>
          </w:p>
        </w:tc>
        <w:tc>
          <w:tcPr>
            <w:tcW w:w="7587" w:type="dxa"/>
            <w:vAlign w:val="center"/>
          </w:tcPr>
          <w:p>
            <w:pPr>
              <w:jc w:val="left"/>
              <w:rPr>
                <w:rFonts w:hAnsi="宋体" w:cs="宋体"/>
                <w:sz w:val="24"/>
                <w:szCs w:val="22"/>
              </w:rPr>
            </w:pPr>
            <w:r>
              <w:rPr>
                <w:rFonts w:hint="eastAsia" w:hAnsi="宋体" w:cs="宋体"/>
                <w:sz w:val="24"/>
                <w:szCs w:val="22"/>
              </w:rPr>
              <w:t>招标人：河北建工集团有限责任公司</w:t>
            </w:r>
          </w:p>
          <w:p>
            <w:pPr>
              <w:jc w:val="left"/>
              <w:rPr>
                <w:rFonts w:hAnsi="宋体" w:cs="宋体"/>
                <w:sz w:val="24"/>
                <w:szCs w:val="22"/>
              </w:rPr>
            </w:pPr>
            <w:r>
              <w:rPr>
                <w:rFonts w:hint="eastAsia" w:hAnsi="宋体" w:cs="宋体"/>
                <w:sz w:val="24"/>
                <w:szCs w:val="22"/>
              </w:rPr>
              <w:t xml:space="preserve">项目部（报名）：刘志超18034075038 </w:t>
            </w:r>
          </w:p>
          <w:p>
            <w:pPr>
              <w:jc w:val="left"/>
              <w:rPr>
                <w:rFonts w:hAnsi="宋体" w:cs="宋体"/>
                <w:sz w:val="24"/>
              </w:rPr>
            </w:pPr>
            <w:r>
              <w:rPr>
                <w:rFonts w:hint="eastAsia" w:hAnsi="宋体" w:cs="宋体"/>
                <w:sz w:val="24"/>
                <w:szCs w:val="22"/>
              </w:rPr>
              <w:t>项目部（咨询）：刘景赞17788213606  苗少飞18603318726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8" w:hRule="exact"/>
          <w:jc w:val="center"/>
        </w:trPr>
        <w:tc>
          <w:tcPr>
            <w:tcW w:w="512" w:type="dxa"/>
            <w:vAlign w:val="center"/>
          </w:tcPr>
          <w:p>
            <w:pPr>
              <w:jc w:val="center"/>
              <w:rPr>
                <w:rFonts w:hAnsi="宋体" w:cs="宋体"/>
                <w:sz w:val="24"/>
              </w:rPr>
            </w:pPr>
            <w:r>
              <w:rPr>
                <w:rFonts w:hint="eastAsia" w:hAnsi="宋体" w:cs="宋体"/>
                <w:sz w:val="24"/>
              </w:rPr>
              <w:t>24</w:t>
            </w:r>
          </w:p>
        </w:tc>
        <w:tc>
          <w:tcPr>
            <w:tcW w:w="1302" w:type="dxa"/>
            <w:vAlign w:val="center"/>
          </w:tcPr>
          <w:p>
            <w:pPr>
              <w:tabs>
                <w:tab w:val="left" w:pos="3203"/>
                <w:tab w:val="center" w:pos="4350"/>
              </w:tabs>
              <w:ind w:right="51" w:rightChars="15"/>
              <w:jc w:val="center"/>
              <w:rPr>
                <w:rFonts w:hAnsi="宋体" w:cs="宋体"/>
                <w:sz w:val="24"/>
              </w:rPr>
            </w:pPr>
            <w:r>
              <w:rPr>
                <w:rFonts w:hint="eastAsia" w:hAnsi="宋体" w:cs="宋体"/>
                <w:sz w:val="24"/>
              </w:rPr>
              <w:t>监督小组及联系方式</w:t>
            </w:r>
          </w:p>
        </w:tc>
        <w:tc>
          <w:tcPr>
            <w:tcW w:w="7587" w:type="dxa"/>
            <w:vAlign w:val="center"/>
          </w:tcPr>
          <w:p>
            <w:pPr>
              <w:tabs>
                <w:tab w:val="left" w:pos="3203"/>
                <w:tab w:val="center" w:pos="4350"/>
              </w:tabs>
              <w:ind w:right="51" w:rightChars="15"/>
              <w:rPr>
                <w:rFonts w:hAnsi="宋体" w:cs="宋体"/>
                <w:sz w:val="24"/>
              </w:rPr>
            </w:pPr>
            <w:r>
              <w:rPr>
                <w:rFonts w:hint="eastAsia" w:hAnsi="宋体" w:cs="宋体"/>
                <w:sz w:val="24"/>
              </w:rPr>
              <w:t>招标人监督小组联系人：</w:t>
            </w:r>
            <w:r>
              <w:rPr>
                <w:rFonts w:hint="eastAsia" w:hAnsi="宋体" w:cs="宋体"/>
                <w:sz w:val="24"/>
                <w:szCs w:val="24"/>
              </w:rPr>
              <w:t>程海涛18732184813  王艳华18910376416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512" w:type="dxa"/>
            <w:vAlign w:val="center"/>
          </w:tcPr>
          <w:p>
            <w:pPr>
              <w:jc w:val="center"/>
              <w:rPr>
                <w:rFonts w:hAnsi="宋体" w:cs="宋体"/>
                <w:sz w:val="24"/>
              </w:rPr>
            </w:pPr>
            <w:r>
              <w:rPr>
                <w:rFonts w:hint="eastAsia" w:hAnsi="宋体" w:cs="宋体"/>
                <w:sz w:val="24"/>
              </w:rPr>
              <w:t>24</w:t>
            </w:r>
          </w:p>
        </w:tc>
        <w:tc>
          <w:tcPr>
            <w:tcW w:w="1302" w:type="dxa"/>
            <w:vAlign w:val="center"/>
          </w:tcPr>
          <w:p>
            <w:pPr>
              <w:tabs>
                <w:tab w:val="left" w:pos="3203"/>
                <w:tab w:val="center" w:pos="4350"/>
              </w:tabs>
              <w:ind w:right="51" w:rightChars="15"/>
              <w:jc w:val="center"/>
              <w:rPr>
                <w:rFonts w:hAnsi="宋体" w:cs="宋体"/>
                <w:sz w:val="24"/>
              </w:rPr>
            </w:pPr>
            <w:r>
              <w:rPr>
                <w:rFonts w:hint="eastAsia" w:hAnsi="宋体" w:cs="宋体"/>
                <w:sz w:val="24"/>
              </w:rPr>
              <w:t>招标人监督部门及联系方式</w:t>
            </w:r>
          </w:p>
        </w:tc>
        <w:tc>
          <w:tcPr>
            <w:tcW w:w="7587" w:type="dxa"/>
            <w:vAlign w:val="center"/>
          </w:tcPr>
          <w:p>
            <w:pPr>
              <w:tabs>
                <w:tab w:val="left" w:pos="3203"/>
                <w:tab w:val="center" w:pos="4350"/>
              </w:tabs>
              <w:ind w:right="51" w:rightChars="15"/>
              <w:rPr>
                <w:rFonts w:hAnsi="宋体" w:cs="宋体"/>
                <w:sz w:val="24"/>
              </w:rPr>
            </w:pPr>
            <w:r>
              <w:rPr>
                <w:rFonts w:hint="eastAsia" w:hAnsi="宋体" w:cs="宋体"/>
                <w:sz w:val="24"/>
              </w:rPr>
              <w:t>招标人监督部门联系人：焦玉民0311-87056639</w:t>
            </w:r>
          </w:p>
        </w:tc>
      </w:tr>
    </w:tbl>
    <w:p>
      <w:pPr>
        <w:spacing w:line="480" w:lineRule="exact"/>
        <w:ind w:firstLine="680" w:firstLineChars="200"/>
        <w:jc w:val="center"/>
        <w:outlineLvl w:val="0"/>
        <w:rPr>
          <w:rFonts w:hAnsi="宋体" w:cs="宋体"/>
          <w:b/>
          <w:spacing w:val="40"/>
          <w:sz w:val="36"/>
        </w:rPr>
      </w:pPr>
      <w:r>
        <w:rPr>
          <w:rFonts w:hint="eastAsia" w:hAnsi="宋体" w:cs="宋体"/>
        </w:rPr>
        <w:br w:type="page"/>
      </w:r>
      <w:r>
        <w:rPr>
          <w:rFonts w:hint="eastAsia" w:hAnsi="宋体" w:cs="宋体"/>
          <w:b/>
          <w:spacing w:val="40"/>
          <w:sz w:val="36"/>
        </w:rPr>
        <w:t>三、投标须知</w:t>
      </w:r>
    </w:p>
    <w:p>
      <w:pPr>
        <w:spacing w:line="480" w:lineRule="exact"/>
        <w:ind w:firstLine="482" w:firstLineChars="200"/>
        <w:outlineLvl w:val="1"/>
        <w:rPr>
          <w:rFonts w:hAnsi="宋体" w:cs="宋体"/>
          <w:b/>
          <w:bCs/>
          <w:sz w:val="24"/>
          <w:szCs w:val="24"/>
        </w:rPr>
      </w:pPr>
      <w:r>
        <w:rPr>
          <w:rFonts w:hint="eastAsia" w:hAnsi="宋体" w:cs="宋体"/>
          <w:b/>
          <w:bCs/>
          <w:sz w:val="24"/>
          <w:szCs w:val="24"/>
        </w:rPr>
        <w:t>（一）总则</w:t>
      </w:r>
    </w:p>
    <w:p>
      <w:pPr>
        <w:spacing w:line="480" w:lineRule="exact"/>
        <w:ind w:firstLine="482" w:firstLineChars="200"/>
        <w:rPr>
          <w:rFonts w:hAnsi="宋体" w:cs="宋体"/>
          <w:b/>
          <w:bCs/>
          <w:sz w:val="24"/>
          <w:szCs w:val="24"/>
        </w:rPr>
      </w:pPr>
      <w:r>
        <w:rPr>
          <w:rFonts w:hint="eastAsia" w:hAnsi="宋体" w:cs="宋体"/>
          <w:b/>
          <w:bCs/>
          <w:sz w:val="24"/>
          <w:szCs w:val="24"/>
        </w:rPr>
        <w:t>1、工程说明</w:t>
      </w:r>
    </w:p>
    <w:p>
      <w:pPr>
        <w:spacing w:line="480" w:lineRule="exact"/>
        <w:ind w:firstLine="480" w:firstLineChars="200"/>
        <w:rPr>
          <w:rFonts w:hAnsi="宋体" w:cs="宋体"/>
          <w:sz w:val="24"/>
          <w:szCs w:val="24"/>
        </w:rPr>
      </w:pPr>
      <w:r>
        <w:rPr>
          <w:rFonts w:hint="eastAsia" w:hAnsi="宋体" w:cs="宋体"/>
          <w:sz w:val="24"/>
          <w:szCs w:val="24"/>
        </w:rPr>
        <w:t>1.1本招标工程项目说明详见本须知前附表。</w:t>
      </w:r>
    </w:p>
    <w:p>
      <w:pPr>
        <w:spacing w:line="480" w:lineRule="exact"/>
        <w:ind w:firstLine="482" w:firstLineChars="200"/>
        <w:rPr>
          <w:rFonts w:hAnsi="宋体" w:cs="宋体"/>
          <w:b/>
          <w:bCs/>
          <w:sz w:val="24"/>
          <w:szCs w:val="24"/>
        </w:rPr>
      </w:pPr>
      <w:r>
        <w:rPr>
          <w:rFonts w:hint="eastAsia" w:hAnsi="宋体" w:cs="宋体"/>
          <w:b/>
          <w:bCs/>
          <w:sz w:val="24"/>
          <w:szCs w:val="24"/>
        </w:rPr>
        <w:t xml:space="preserve">2、招标范围及工期 </w:t>
      </w:r>
    </w:p>
    <w:p>
      <w:pPr>
        <w:spacing w:line="480" w:lineRule="exact"/>
        <w:ind w:firstLine="480" w:firstLineChars="200"/>
        <w:rPr>
          <w:rFonts w:hAnsi="宋体" w:cs="宋体"/>
          <w:sz w:val="24"/>
          <w:szCs w:val="24"/>
        </w:rPr>
      </w:pPr>
      <w:r>
        <w:rPr>
          <w:rFonts w:hint="eastAsia" w:hAnsi="宋体" w:cs="宋体"/>
          <w:sz w:val="24"/>
          <w:szCs w:val="24"/>
        </w:rPr>
        <w:t>2.1本招标工程项目的招标范围见本须知前附表。</w:t>
      </w:r>
    </w:p>
    <w:p>
      <w:pPr>
        <w:spacing w:line="480" w:lineRule="exact"/>
        <w:ind w:firstLine="480" w:firstLineChars="200"/>
        <w:rPr>
          <w:rFonts w:hAnsi="宋体" w:cs="宋体"/>
          <w:sz w:val="24"/>
          <w:szCs w:val="24"/>
        </w:rPr>
      </w:pPr>
      <w:r>
        <w:rPr>
          <w:rFonts w:hint="eastAsia" w:hAnsi="宋体" w:cs="宋体"/>
          <w:sz w:val="24"/>
          <w:szCs w:val="24"/>
        </w:rPr>
        <w:t>2.2本招标工程项目的工期要求详见本须知前附表。</w:t>
      </w:r>
    </w:p>
    <w:p>
      <w:pPr>
        <w:spacing w:line="480" w:lineRule="exact"/>
        <w:ind w:firstLine="482" w:firstLineChars="200"/>
        <w:rPr>
          <w:rFonts w:hAnsi="宋体" w:cs="宋体"/>
          <w:sz w:val="24"/>
          <w:szCs w:val="24"/>
        </w:rPr>
      </w:pPr>
      <w:r>
        <w:rPr>
          <w:rFonts w:hint="eastAsia" w:hAnsi="宋体" w:cs="宋体"/>
          <w:b/>
          <w:bCs/>
          <w:sz w:val="24"/>
          <w:szCs w:val="24"/>
        </w:rPr>
        <w:t>3、质量要求：</w:t>
      </w:r>
      <w:r>
        <w:rPr>
          <w:rFonts w:hint="eastAsia" w:hAnsi="宋体" w:cs="宋体"/>
          <w:sz w:val="24"/>
          <w:szCs w:val="24"/>
        </w:rPr>
        <w:t>满足图纸设计和使用要求，符合国家现行验收规范，省优。</w:t>
      </w:r>
    </w:p>
    <w:p>
      <w:pPr>
        <w:adjustRightInd w:val="0"/>
        <w:snapToGrid w:val="0"/>
        <w:spacing w:line="480" w:lineRule="exact"/>
        <w:ind w:firstLine="482" w:firstLineChars="200"/>
        <w:rPr>
          <w:rFonts w:hAnsi="宋体" w:cs="宋体"/>
          <w:b/>
          <w:bCs/>
          <w:sz w:val="24"/>
          <w:szCs w:val="24"/>
        </w:rPr>
      </w:pPr>
      <w:r>
        <w:rPr>
          <w:rFonts w:hint="eastAsia" w:hAnsi="宋体" w:cs="宋体"/>
          <w:b/>
          <w:bCs/>
          <w:sz w:val="24"/>
          <w:szCs w:val="24"/>
        </w:rPr>
        <w:t>4、技术要求及相关规范：本项目土方工程施工应严格遵循本项目的施工图纸，且符合国家、地区的相应规范要求。</w:t>
      </w:r>
    </w:p>
    <w:p>
      <w:pPr>
        <w:adjustRightInd w:val="0"/>
        <w:snapToGrid w:val="0"/>
        <w:spacing w:line="480" w:lineRule="exact"/>
        <w:ind w:firstLine="482" w:firstLineChars="200"/>
        <w:rPr>
          <w:rFonts w:hAnsi="宋体" w:cs="宋体"/>
          <w:b/>
          <w:bCs/>
          <w:sz w:val="24"/>
          <w:szCs w:val="24"/>
        </w:rPr>
      </w:pPr>
      <w:r>
        <w:rPr>
          <w:rFonts w:hint="eastAsia" w:hAnsi="宋体" w:cs="宋体"/>
          <w:b/>
          <w:bCs/>
          <w:sz w:val="24"/>
          <w:szCs w:val="24"/>
        </w:rPr>
        <w:t>5、健康、安全和环保施工</w:t>
      </w:r>
    </w:p>
    <w:p>
      <w:pPr>
        <w:spacing w:line="480" w:lineRule="exact"/>
        <w:ind w:firstLine="480" w:firstLineChars="200"/>
        <w:rPr>
          <w:rFonts w:hAnsi="宋体" w:cs="宋体"/>
          <w:sz w:val="24"/>
          <w:szCs w:val="24"/>
        </w:rPr>
      </w:pPr>
      <w:r>
        <w:rPr>
          <w:rFonts w:hint="eastAsia" w:hAnsi="宋体" w:cs="宋体"/>
          <w:sz w:val="24"/>
          <w:szCs w:val="24"/>
        </w:rPr>
        <w:t>5.1投标人（即投标中标人）在施工过程中应严格执行国家、地方的相关标准和规定，还要符合招标人《质量、环境、职业健康安全管理体系》提出的要求。招标人在履行安全文明、环保检查时，如发现投标方有不符合标准、规定的行为或违章操作，将视情节轻重，按照有关文件、现场的规章制度等规定，对投标方进行警告和罚款。三次警告后或投标方无理取闹、扰乱施工现场招标方有权终止合同，投标方承担因此对招标方造成的一切损失。</w:t>
      </w:r>
    </w:p>
    <w:p>
      <w:pPr>
        <w:spacing w:line="480" w:lineRule="exact"/>
        <w:ind w:firstLine="480" w:firstLineChars="200"/>
        <w:rPr>
          <w:rFonts w:hAnsi="宋体" w:cs="宋体"/>
          <w:sz w:val="24"/>
          <w:szCs w:val="24"/>
        </w:rPr>
      </w:pPr>
      <w:r>
        <w:rPr>
          <w:rFonts w:hint="eastAsia" w:hAnsi="宋体" w:cs="宋体"/>
          <w:sz w:val="24"/>
          <w:szCs w:val="24"/>
        </w:rPr>
        <w:t>5.2投标人（即投标中标人）在施工过程中的机械、车辆必须安装尾气净化装置（由投标人自行承担），环保施工必须达到国家、地方的相关标准和规定，因未达到环保部门或其他相关部门要求而致使招标人遭受罚款的，该罚款由投标人承担。</w:t>
      </w:r>
    </w:p>
    <w:p>
      <w:pPr>
        <w:spacing w:line="480" w:lineRule="exact"/>
        <w:ind w:firstLine="482" w:firstLineChars="200"/>
        <w:rPr>
          <w:rFonts w:hAnsi="宋体" w:cs="宋体"/>
          <w:b/>
          <w:bCs/>
          <w:sz w:val="24"/>
          <w:szCs w:val="24"/>
        </w:rPr>
      </w:pPr>
      <w:r>
        <w:rPr>
          <w:rFonts w:hint="eastAsia" w:hAnsi="宋体" w:cs="宋体"/>
          <w:b/>
          <w:bCs/>
          <w:sz w:val="24"/>
          <w:szCs w:val="24"/>
        </w:rPr>
        <w:t>6、发标及踏勘现场</w:t>
      </w:r>
    </w:p>
    <w:p>
      <w:pPr>
        <w:spacing w:line="480" w:lineRule="exact"/>
        <w:ind w:firstLine="480" w:firstLineChars="200"/>
        <w:rPr>
          <w:rFonts w:hAnsi="宋体" w:cs="宋体"/>
          <w:sz w:val="24"/>
          <w:szCs w:val="24"/>
        </w:rPr>
      </w:pPr>
      <w:r>
        <w:rPr>
          <w:rFonts w:hint="eastAsia" w:hAnsi="宋体" w:cs="宋体"/>
          <w:sz w:val="24"/>
          <w:szCs w:val="24"/>
        </w:rPr>
        <w:t>6.1招标人不统一组织踏勘现场，投标人到项目部报名时可自行到施工现场进行踏勘，充分了解其位置、施工环境、交通及任何其他足以影响报价及工期的情况或条件，（招标人对于现有的现场环境及条件将不增加任何投入，请投标人自行考虑并计入投标报价内）以便投标人获取有关编制投标文件和签署合同所涉及现场的资料。投标人承担踏勘现场所发生的自身费用。</w:t>
      </w:r>
    </w:p>
    <w:p>
      <w:pPr>
        <w:spacing w:line="480" w:lineRule="exact"/>
        <w:ind w:firstLine="480" w:firstLineChars="200"/>
        <w:rPr>
          <w:rFonts w:hAnsi="宋体" w:cs="宋体"/>
          <w:sz w:val="24"/>
          <w:szCs w:val="24"/>
        </w:rPr>
      </w:pPr>
      <w:r>
        <w:rPr>
          <w:rFonts w:hint="eastAsia" w:hAnsi="宋体" w:cs="宋体"/>
          <w:sz w:val="24"/>
          <w:szCs w:val="24"/>
        </w:rPr>
        <w:t>6.2招标人向投标人提供的有关现场的数据和资料，是招标人现有的能被投标人利用的资料，招标人对投标人做出的任何推论、理解和结论均不负责任。</w:t>
      </w:r>
    </w:p>
    <w:p>
      <w:pPr>
        <w:spacing w:line="480" w:lineRule="exact"/>
        <w:ind w:firstLine="480" w:firstLineChars="200"/>
        <w:rPr>
          <w:rFonts w:hAnsi="宋体" w:cs="宋体"/>
          <w:sz w:val="24"/>
          <w:szCs w:val="24"/>
        </w:rPr>
      </w:pPr>
      <w:r>
        <w:rPr>
          <w:rFonts w:hint="eastAsia" w:hAnsi="宋体" w:cs="宋体"/>
          <w:sz w:val="24"/>
          <w:szCs w:val="24"/>
        </w:rPr>
        <w:t>6.3经招标人允许，投标人方可为踏勘目的而进入招标人的项目施工现场，但投标人不得因此使招标人承担有关责任和蒙受损失。投标人应承担踏勘现场的责任和风险。</w:t>
      </w:r>
    </w:p>
    <w:p>
      <w:pPr>
        <w:spacing w:line="480" w:lineRule="exact"/>
        <w:ind w:firstLine="482" w:firstLineChars="200"/>
        <w:outlineLvl w:val="1"/>
        <w:rPr>
          <w:rFonts w:hAnsi="宋体" w:cs="宋体"/>
          <w:b/>
          <w:bCs/>
          <w:sz w:val="24"/>
          <w:szCs w:val="24"/>
        </w:rPr>
      </w:pPr>
      <w:r>
        <w:rPr>
          <w:rFonts w:hint="eastAsia" w:hAnsi="宋体" w:cs="宋体"/>
          <w:b/>
          <w:bCs/>
          <w:sz w:val="24"/>
          <w:szCs w:val="24"/>
        </w:rPr>
        <w:t>（二）招标文件</w:t>
      </w:r>
    </w:p>
    <w:p>
      <w:pPr>
        <w:spacing w:line="480" w:lineRule="exact"/>
        <w:ind w:firstLine="482" w:firstLineChars="200"/>
        <w:rPr>
          <w:rFonts w:hAnsi="宋体" w:cs="宋体"/>
          <w:b/>
          <w:bCs/>
          <w:sz w:val="24"/>
          <w:szCs w:val="24"/>
        </w:rPr>
      </w:pPr>
      <w:r>
        <w:rPr>
          <w:rFonts w:hint="eastAsia" w:hAnsi="宋体" w:cs="宋体"/>
          <w:b/>
          <w:bCs/>
          <w:sz w:val="24"/>
          <w:szCs w:val="24"/>
        </w:rPr>
        <w:t>7、招标文件的组成</w:t>
      </w:r>
    </w:p>
    <w:p>
      <w:pPr>
        <w:spacing w:line="480" w:lineRule="exact"/>
        <w:ind w:firstLine="480" w:firstLineChars="200"/>
        <w:rPr>
          <w:rFonts w:hAnsi="宋体" w:cs="宋体"/>
          <w:sz w:val="24"/>
          <w:szCs w:val="24"/>
        </w:rPr>
      </w:pPr>
      <w:r>
        <w:rPr>
          <w:rFonts w:hint="eastAsia" w:hAnsi="宋体" w:cs="宋体"/>
          <w:sz w:val="24"/>
          <w:szCs w:val="24"/>
        </w:rPr>
        <w:t>7.1招标文件包括下列内容：</w:t>
      </w:r>
    </w:p>
    <w:p>
      <w:pPr>
        <w:spacing w:line="480" w:lineRule="exact"/>
        <w:ind w:firstLine="480" w:firstLineChars="200"/>
        <w:rPr>
          <w:rFonts w:hAnsi="宋体" w:cs="宋体"/>
          <w:sz w:val="24"/>
          <w:szCs w:val="24"/>
        </w:rPr>
      </w:pPr>
      <w:r>
        <w:rPr>
          <w:rFonts w:hint="eastAsia" w:hAnsi="宋体" w:cs="宋体"/>
          <w:sz w:val="24"/>
          <w:szCs w:val="24"/>
        </w:rPr>
        <w:t xml:space="preserve">（1）投标须知及投标须知前附表 </w:t>
      </w:r>
    </w:p>
    <w:p>
      <w:pPr>
        <w:spacing w:line="480" w:lineRule="exact"/>
        <w:ind w:firstLine="480" w:firstLineChars="200"/>
        <w:rPr>
          <w:rFonts w:hAnsi="宋体" w:cs="宋体"/>
          <w:sz w:val="24"/>
          <w:szCs w:val="24"/>
        </w:rPr>
      </w:pPr>
      <w:r>
        <w:rPr>
          <w:rFonts w:hint="eastAsia" w:hAnsi="宋体" w:cs="宋体"/>
          <w:sz w:val="24"/>
          <w:szCs w:val="24"/>
        </w:rPr>
        <w:t>（2）评标办法</w:t>
      </w:r>
    </w:p>
    <w:p>
      <w:pPr>
        <w:spacing w:line="480" w:lineRule="exact"/>
        <w:ind w:firstLine="480" w:firstLineChars="200"/>
        <w:rPr>
          <w:rFonts w:hAnsi="宋体" w:cs="宋体"/>
          <w:sz w:val="24"/>
          <w:szCs w:val="24"/>
        </w:rPr>
      </w:pPr>
      <w:r>
        <w:rPr>
          <w:rFonts w:hint="eastAsia" w:hAnsi="宋体" w:cs="宋体"/>
          <w:sz w:val="24"/>
          <w:szCs w:val="24"/>
        </w:rPr>
        <w:t>（3）投标文件格式</w:t>
      </w:r>
    </w:p>
    <w:p>
      <w:pPr>
        <w:spacing w:line="480" w:lineRule="exact"/>
        <w:ind w:firstLine="480" w:firstLineChars="200"/>
        <w:rPr>
          <w:rFonts w:hAnsi="宋体" w:cs="宋体"/>
          <w:sz w:val="24"/>
          <w:szCs w:val="24"/>
        </w:rPr>
      </w:pPr>
      <w:r>
        <w:rPr>
          <w:rFonts w:hint="eastAsia" w:hAnsi="宋体" w:cs="宋体"/>
          <w:sz w:val="24"/>
          <w:szCs w:val="24"/>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80" w:lineRule="exact"/>
        <w:ind w:firstLine="482" w:firstLineChars="200"/>
        <w:rPr>
          <w:rFonts w:hAnsi="宋体" w:cs="宋体"/>
          <w:b/>
          <w:bCs/>
          <w:sz w:val="24"/>
          <w:szCs w:val="24"/>
        </w:rPr>
      </w:pPr>
      <w:r>
        <w:rPr>
          <w:rFonts w:hint="eastAsia" w:hAnsi="宋体" w:cs="宋体"/>
          <w:b/>
          <w:bCs/>
          <w:sz w:val="24"/>
          <w:szCs w:val="24"/>
        </w:rPr>
        <w:t>8、招标文件的澄清</w:t>
      </w:r>
    </w:p>
    <w:p>
      <w:pPr>
        <w:spacing w:line="480" w:lineRule="exact"/>
        <w:ind w:firstLine="480" w:firstLineChars="200"/>
        <w:rPr>
          <w:rFonts w:hAnsi="宋体" w:cs="宋体"/>
          <w:b/>
          <w:bCs/>
          <w:sz w:val="24"/>
          <w:szCs w:val="24"/>
        </w:rPr>
      </w:pPr>
      <w:r>
        <w:rPr>
          <w:rFonts w:hint="eastAsia" w:hAnsi="宋体" w:cs="宋体"/>
          <w:sz w:val="24"/>
          <w:szCs w:val="24"/>
        </w:rPr>
        <w:t>8.1 投标人若对招标文件有疑问，应于投标截止日期</w:t>
      </w:r>
      <w:r>
        <w:rPr>
          <w:rFonts w:hint="eastAsia" w:hAnsi="宋体" w:cs="宋体"/>
          <w:sz w:val="24"/>
          <w:szCs w:val="24"/>
          <w:u w:val="single"/>
        </w:rPr>
        <w:t xml:space="preserve"> 2 </w:t>
      </w:r>
      <w:r>
        <w:rPr>
          <w:rFonts w:hint="eastAsia"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hAnsi="宋体" w:cs="宋体"/>
          <w:sz w:val="24"/>
          <w:szCs w:val="24"/>
          <w:u w:val="single"/>
        </w:rPr>
        <w:t xml:space="preserve"> 2</w:t>
      </w:r>
      <w:r>
        <w:rPr>
          <w:rFonts w:hint="eastAsia" w:hAnsi="宋体" w:cs="宋体"/>
          <w:sz w:val="24"/>
          <w:szCs w:val="24"/>
        </w:rPr>
        <w:t>日前以书面形式予以澄清，投标人在收到该澄清文件后应在24小时内以书面形式给予确认。</w:t>
      </w:r>
    </w:p>
    <w:p>
      <w:pPr>
        <w:spacing w:line="480" w:lineRule="exact"/>
        <w:ind w:firstLine="482" w:firstLineChars="200"/>
        <w:rPr>
          <w:rFonts w:hAnsi="宋体" w:cs="宋体"/>
          <w:b/>
          <w:bCs/>
          <w:sz w:val="24"/>
          <w:szCs w:val="24"/>
        </w:rPr>
      </w:pPr>
      <w:r>
        <w:rPr>
          <w:rFonts w:hint="eastAsia" w:hAnsi="宋体" w:cs="宋体"/>
          <w:b/>
          <w:bCs/>
          <w:sz w:val="24"/>
          <w:szCs w:val="24"/>
        </w:rPr>
        <w:t>9、招标文件的修改</w:t>
      </w:r>
    </w:p>
    <w:p>
      <w:pPr>
        <w:spacing w:line="480" w:lineRule="exact"/>
        <w:ind w:firstLine="480" w:firstLineChars="200"/>
        <w:rPr>
          <w:rFonts w:hAnsi="宋体" w:cs="宋体"/>
          <w:sz w:val="24"/>
          <w:szCs w:val="24"/>
        </w:rPr>
      </w:pPr>
      <w:r>
        <w:rPr>
          <w:rFonts w:hint="eastAsia" w:hAnsi="宋体" w:cs="宋体"/>
          <w:sz w:val="24"/>
          <w:szCs w:val="24"/>
        </w:rPr>
        <w:t>9.1 招标文件发出后，在投标截止时间</w:t>
      </w:r>
      <w:r>
        <w:rPr>
          <w:rFonts w:hint="eastAsia" w:hAnsi="宋体" w:cs="宋体"/>
          <w:sz w:val="24"/>
          <w:szCs w:val="24"/>
          <w:u w:val="single"/>
        </w:rPr>
        <w:t xml:space="preserve"> 3 </w:t>
      </w:r>
      <w:r>
        <w:rPr>
          <w:rFonts w:hint="eastAsia" w:hAnsi="宋体" w:cs="宋体"/>
          <w:sz w:val="24"/>
          <w:szCs w:val="24"/>
        </w:rPr>
        <w:t>日前，招标人可对招标文件进行必要的澄清或修改。</w:t>
      </w:r>
    </w:p>
    <w:p>
      <w:pPr>
        <w:spacing w:line="480" w:lineRule="exact"/>
        <w:ind w:firstLine="480" w:firstLineChars="200"/>
        <w:rPr>
          <w:rFonts w:hAnsi="宋体" w:cs="宋体"/>
          <w:sz w:val="24"/>
          <w:szCs w:val="24"/>
        </w:rPr>
      </w:pPr>
      <w:r>
        <w:rPr>
          <w:rFonts w:hint="eastAsia" w:hAnsi="宋体" w:cs="宋体"/>
          <w:sz w:val="24"/>
          <w:szCs w:val="24"/>
        </w:rPr>
        <w:t>9.2 招标文件的修改意见将发送给所有投标人，投标人应于收到该修改文件后24小时内以书面形式给予确认。招标文件的修改内容作为招标文件的组成部分，具有约束作用。</w:t>
      </w:r>
    </w:p>
    <w:p>
      <w:pPr>
        <w:spacing w:line="480" w:lineRule="exact"/>
        <w:ind w:firstLine="480" w:firstLineChars="200"/>
        <w:rPr>
          <w:rFonts w:hAnsi="宋体" w:cs="宋体"/>
          <w:sz w:val="24"/>
          <w:szCs w:val="24"/>
        </w:rPr>
      </w:pPr>
      <w:r>
        <w:rPr>
          <w:rFonts w:hint="eastAsia" w:hAnsi="宋体" w:cs="宋体"/>
          <w:sz w:val="24"/>
          <w:szCs w:val="24"/>
        </w:rPr>
        <w:t>9.3 招标文件的澄清、修改、补充等内容均以书面形式明确的内容为准。当招标文件、招标文件的澄清、修改、补充等在同一内容的表述上不一致时，以最后发出的书面文件为准。</w:t>
      </w:r>
    </w:p>
    <w:p>
      <w:pPr>
        <w:spacing w:line="480" w:lineRule="exact"/>
        <w:ind w:firstLine="480" w:firstLineChars="200"/>
        <w:rPr>
          <w:rFonts w:hAnsi="宋体" w:cs="宋体"/>
          <w:sz w:val="24"/>
          <w:szCs w:val="24"/>
        </w:rPr>
      </w:pPr>
      <w:r>
        <w:rPr>
          <w:rFonts w:hint="eastAsia" w:hAnsi="宋体" w:cs="宋体"/>
          <w:sz w:val="24"/>
          <w:szCs w:val="24"/>
        </w:rPr>
        <w:t>9.4 为使投标人在编制投标文件时有充分的时间对招标文件的澄清、修改、补充等内容进行研究，招标人可酌情延长提交投标文件的截止时间，具体时间将在招标文件的修改、补充通知中予以明确。</w:t>
      </w:r>
    </w:p>
    <w:p>
      <w:pPr>
        <w:spacing w:line="480" w:lineRule="exact"/>
        <w:ind w:firstLine="482" w:firstLineChars="200"/>
        <w:outlineLvl w:val="1"/>
        <w:rPr>
          <w:rFonts w:hAnsi="宋体" w:cs="宋体"/>
          <w:b/>
          <w:bCs/>
          <w:sz w:val="24"/>
          <w:szCs w:val="24"/>
        </w:rPr>
      </w:pPr>
      <w:r>
        <w:rPr>
          <w:rFonts w:hint="eastAsia" w:hAnsi="宋体" w:cs="宋体"/>
          <w:b/>
          <w:bCs/>
          <w:sz w:val="24"/>
          <w:szCs w:val="24"/>
        </w:rPr>
        <w:t>（三）投标文件</w:t>
      </w:r>
    </w:p>
    <w:p>
      <w:pPr>
        <w:spacing w:line="480" w:lineRule="exact"/>
        <w:ind w:firstLine="482" w:firstLineChars="200"/>
        <w:rPr>
          <w:rFonts w:hAnsi="宋体" w:cs="宋体"/>
          <w:b/>
          <w:bCs/>
          <w:sz w:val="24"/>
          <w:szCs w:val="24"/>
        </w:rPr>
      </w:pPr>
      <w:r>
        <w:rPr>
          <w:rFonts w:hint="eastAsia" w:hAnsi="宋体" w:cs="宋体"/>
          <w:b/>
          <w:bCs/>
          <w:sz w:val="24"/>
          <w:szCs w:val="24"/>
        </w:rPr>
        <w:t>10、投标文件的语言及度量衡单位</w:t>
      </w:r>
    </w:p>
    <w:p>
      <w:pPr>
        <w:spacing w:line="480" w:lineRule="exact"/>
        <w:ind w:firstLine="480" w:firstLineChars="200"/>
        <w:rPr>
          <w:rFonts w:hAnsi="宋体" w:cs="宋体"/>
          <w:sz w:val="24"/>
          <w:szCs w:val="24"/>
        </w:rPr>
      </w:pPr>
      <w:r>
        <w:rPr>
          <w:rFonts w:hint="eastAsia" w:hAnsi="宋体" w:cs="宋体"/>
          <w:sz w:val="24"/>
          <w:szCs w:val="24"/>
        </w:rPr>
        <w:t>10.1 投标文件和与投标有关的所有文件均应使用</w:t>
      </w:r>
      <w:r>
        <w:rPr>
          <w:rFonts w:hint="eastAsia" w:hAnsi="宋体" w:cs="宋体"/>
          <w:b/>
          <w:sz w:val="24"/>
          <w:szCs w:val="24"/>
          <w:u w:val="single"/>
        </w:rPr>
        <w:t>中文</w:t>
      </w:r>
      <w:r>
        <w:rPr>
          <w:rFonts w:hint="eastAsia" w:hAnsi="宋体" w:cs="宋体"/>
          <w:sz w:val="24"/>
          <w:szCs w:val="24"/>
        </w:rPr>
        <w:t>。</w:t>
      </w:r>
    </w:p>
    <w:p>
      <w:pPr>
        <w:spacing w:line="480" w:lineRule="exact"/>
        <w:ind w:firstLine="480" w:firstLineChars="200"/>
        <w:rPr>
          <w:rFonts w:hAnsi="宋体" w:cs="宋体"/>
          <w:b/>
          <w:bCs/>
          <w:sz w:val="24"/>
          <w:szCs w:val="24"/>
        </w:rPr>
      </w:pPr>
      <w:r>
        <w:rPr>
          <w:rFonts w:hint="eastAsia" w:hAnsi="宋体" w:cs="宋体"/>
          <w:sz w:val="24"/>
          <w:szCs w:val="24"/>
        </w:rPr>
        <w:t>10.2 除工程规范另有规定外，投标文件使用的度量衡单位，均采用中华人民共和国法定计量单位。</w:t>
      </w:r>
    </w:p>
    <w:p>
      <w:pPr>
        <w:spacing w:line="480" w:lineRule="exact"/>
        <w:ind w:firstLine="482" w:firstLineChars="200"/>
        <w:rPr>
          <w:rFonts w:hAnsi="宋体" w:cs="宋体"/>
          <w:b/>
          <w:bCs/>
          <w:sz w:val="24"/>
          <w:szCs w:val="24"/>
        </w:rPr>
      </w:pPr>
      <w:r>
        <w:rPr>
          <w:rFonts w:hint="eastAsia" w:hAnsi="宋体" w:cs="宋体"/>
          <w:b/>
          <w:bCs/>
          <w:sz w:val="24"/>
          <w:szCs w:val="24"/>
        </w:rPr>
        <w:t>11、投标文件的组成</w:t>
      </w:r>
    </w:p>
    <w:p>
      <w:pPr>
        <w:spacing w:line="480" w:lineRule="exact"/>
        <w:ind w:firstLine="480" w:firstLineChars="200"/>
        <w:rPr>
          <w:rFonts w:hAnsi="宋体" w:cs="宋体"/>
          <w:bCs/>
          <w:sz w:val="24"/>
          <w:szCs w:val="24"/>
        </w:rPr>
      </w:pPr>
      <w:r>
        <w:rPr>
          <w:rFonts w:hint="eastAsia" w:hAnsi="宋体" w:cs="宋体"/>
          <w:bCs/>
          <w:sz w:val="24"/>
          <w:szCs w:val="24"/>
        </w:rPr>
        <w:t>11.1 投标文件包括下列内容：</w:t>
      </w:r>
    </w:p>
    <w:p>
      <w:pPr>
        <w:spacing w:line="480" w:lineRule="exact"/>
        <w:ind w:firstLine="480" w:firstLineChars="200"/>
        <w:rPr>
          <w:rFonts w:hAnsi="宋体" w:cs="宋体"/>
          <w:sz w:val="24"/>
          <w:szCs w:val="24"/>
        </w:rPr>
      </w:pPr>
      <w:r>
        <w:rPr>
          <w:rFonts w:hint="eastAsia" w:hAnsi="宋体" w:cs="宋体"/>
          <w:sz w:val="24"/>
          <w:szCs w:val="24"/>
        </w:rPr>
        <w:t>11.1.1投标函</w:t>
      </w:r>
    </w:p>
    <w:p>
      <w:pPr>
        <w:spacing w:line="480" w:lineRule="exact"/>
        <w:ind w:firstLine="480" w:firstLineChars="200"/>
        <w:rPr>
          <w:rFonts w:hAnsi="宋体" w:cs="宋体"/>
          <w:sz w:val="24"/>
          <w:szCs w:val="24"/>
        </w:rPr>
      </w:pPr>
      <w:r>
        <w:rPr>
          <w:rFonts w:hint="eastAsia" w:hAnsi="宋体" w:cs="宋体"/>
          <w:sz w:val="24"/>
          <w:szCs w:val="24"/>
        </w:rPr>
        <w:t>11.1.2法定代表人身份证明；</w:t>
      </w:r>
    </w:p>
    <w:p>
      <w:pPr>
        <w:spacing w:line="480" w:lineRule="exact"/>
        <w:ind w:firstLine="480" w:firstLineChars="200"/>
        <w:rPr>
          <w:rFonts w:hAnsi="宋体" w:cs="宋体"/>
          <w:sz w:val="24"/>
          <w:szCs w:val="24"/>
        </w:rPr>
      </w:pPr>
      <w:r>
        <w:rPr>
          <w:rFonts w:hint="eastAsia" w:hAnsi="宋体" w:cs="宋体"/>
          <w:sz w:val="24"/>
          <w:szCs w:val="24"/>
        </w:rPr>
        <w:t>11.1.3法定代表人授权委托书；</w:t>
      </w:r>
    </w:p>
    <w:p>
      <w:pPr>
        <w:spacing w:line="480" w:lineRule="exact"/>
        <w:ind w:firstLine="480" w:firstLineChars="200"/>
        <w:rPr>
          <w:rFonts w:hAnsi="宋体" w:cs="宋体"/>
          <w:sz w:val="24"/>
          <w:szCs w:val="24"/>
        </w:rPr>
      </w:pPr>
      <w:r>
        <w:rPr>
          <w:rFonts w:hint="eastAsia" w:hAnsi="宋体" w:cs="宋体"/>
          <w:sz w:val="24"/>
          <w:szCs w:val="24"/>
        </w:rPr>
        <w:t>11.1.4投标保证金缴纳证明复印件；</w:t>
      </w:r>
    </w:p>
    <w:p>
      <w:pPr>
        <w:spacing w:line="480" w:lineRule="exact"/>
        <w:ind w:firstLine="480" w:firstLineChars="200"/>
        <w:rPr>
          <w:rFonts w:hAnsi="宋体" w:cs="宋体"/>
          <w:sz w:val="24"/>
          <w:szCs w:val="24"/>
        </w:rPr>
      </w:pPr>
      <w:r>
        <w:rPr>
          <w:rFonts w:hint="eastAsia" w:hAnsi="宋体" w:cs="宋体"/>
          <w:sz w:val="24"/>
          <w:szCs w:val="24"/>
        </w:rPr>
        <w:t>11.1.5营业执照、雄安新区道路运输经营许可证（如当地有要求）、雄安新区建筑垃圾运输企业资质证书（如当地有要求）、增值税一般纳税人证明、业绩等相关证件复印件；</w:t>
      </w:r>
    </w:p>
    <w:p>
      <w:pPr>
        <w:spacing w:line="480" w:lineRule="exact"/>
        <w:ind w:firstLine="480" w:firstLineChars="200"/>
        <w:rPr>
          <w:rFonts w:hAnsi="宋体" w:cs="宋体"/>
          <w:bCs/>
          <w:sz w:val="24"/>
          <w:szCs w:val="24"/>
        </w:rPr>
      </w:pPr>
      <w:r>
        <w:rPr>
          <w:rFonts w:hint="eastAsia" w:hAnsi="宋体" w:cs="宋体"/>
          <w:bCs/>
          <w:sz w:val="24"/>
          <w:szCs w:val="24"/>
        </w:rPr>
        <w:t>11.1.6投标报价及报价表；</w:t>
      </w:r>
    </w:p>
    <w:p>
      <w:pPr>
        <w:spacing w:line="480" w:lineRule="exact"/>
        <w:ind w:firstLine="480" w:firstLineChars="200"/>
        <w:rPr>
          <w:rFonts w:hAnsi="宋体" w:cs="宋体"/>
          <w:sz w:val="24"/>
          <w:szCs w:val="24"/>
        </w:rPr>
      </w:pPr>
      <w:r>
        <w:rPr>
          <w:rFonts w:hint="eastAsia" w:hAnsi="宋体" w:cs="宋体"/>
          <w:sz w:val="24"/>
          <w:szCs w:val="24"/>
        </w:rPr>
        <w:t>11.1.</w:t>
      </w:r>
      <w:r>
        <w:rPr>
          <w:rFonts w:hAnsi="宋体" w:cs="宋体"/>
          <w:sz w:val="24"/>
          <w:szCs w:val="24"/>
        </w:rPr>
        <w:t>7</w:t>
      </w:r>
      <w:r>
        <w:rPr>
          <w:rFonts w:hint="eastAsia" w:hAnsi="宋体" w:cs="宋体"/>
          <w:sz w:val="24"/>
          <w:szCs w:val="24"/>
        </w:rPr>
        <w:t>承诺书</w:t>
      </w:r>
    </w:p>
    <w:p>
      <w:pPr>
        <w:pStyle w:val="2"/>
        <w:spacing w:line="480" w:lineRule="exact"/>
        <w:ind w:left="0" w:firstLine="530"/>
        <w:rPr>
          <w:b/>
          <w:bCs/>
        </w:rPr>
      </w:pPr>
      <w:r>
        <w:rPr>
          <w:rFonts w:hint="eastAsia"/>
          <w:b/>
          <w:bCs/>
        </w:rPr>
        <w:t>以上内容公章为必要合格条件（相关复印件加盖公章），否则按废标处理。</w:t>
      </w:r>
    </w:p>
    <w:p>
      <w:pPr>
        <w:spacing w:line="480" w:lineRule="exact"/>
        <w:ind w:firstLine="482" w:firstLineChars="200"/>
        <w:rPr>
          <w:rFonts w:hAnsi="宋体" w:cs="宋体"/>
          <w:b/>
          <w:bCs/>
          <w:sz w:val="24"/>
          <w:szCs w:val="24"/>
        </w:rPr>
      </w:pPr>
      <w:r>
        <w:rPr>
          <w:rFonts w:hint="eastAsia" w:hAnsi="宋体" w:cs="宋体"/>
          <w:b/>
          <w:bCs/>
          <w:sz w:val="24"/>
          <w:szCs w:val="24"/>
        </w:rPr>
        <w:t>12、 投标报价及投标最高限价</w:t>
      </w:r>
    </w:p>
    <w:p>
      <w:pPr>
        <w:spacing w:line="480" w:lineRule="exact"/>
        <w:ind w:firstLine="480" w:firstLineChars="200"/>
        <w:rPr>
          <w:rFonts w:hAnsi="宋体" w:cs="宋体"/>
          <w:sz w:val="24"/>
          <w:szCs w:val="24"/>
        </w:rPr>
      </w:pPr>
      <w:r>
        <w:rPr>
          <w:rFonts w:hint="eastAsia" w:hAnsi="宋体" w:cs="宋体"/>
          <w:sz w:val="24"/>
          <w:szCs w:val="24"/>
        </w:rPr>
        <w:t>12.1 除本工程的投标报价采用投标须知前附表所规定的方式外，投标人的投标报价应是完成本须知和合同条款上所列招标工程范围及工期的全部，投标报价时按照网上竞价规则进行报价。投标人不得为了入围恶意低于市场价报价。</w:t>
      </w:r>
    </w:p>
    <w:p>
      <w:pPr>
        <w:spacing w:line="480" w:lineRule="exact"/>
        <w:ind w:firstLine="480" w:firstLineChars="200"/>
        <w:rPr>
          <w:rFonts w:hAnsi="宋体" w:cs="宋体"/>
          <w:sz w:val="24"/>
          <w:szCs w:val="24"/>
        </w:rPr>
      </w:pPr>
      <w:r>
        <w:rPr>
          <w:rFonts w:hint="eastAsia" w:hAnsi="宋体" w:cs="宋体"/>
          <w:sz w:val="24"/>
          <w:szCs w:val="24"/>
        </w:rPr>
        <w:t>招标人设置内部控制价，如进入议标的投标人的投标报价高于招标人内部控制价，经议标仍不能调整的，招标人有权按废标处理，剩余家数不满足招标人需求时，招标人有权重新进行招标；进入议标阶段的投标人的报价明显低于市场价的，视为实质上未响应招标文件要求的投标，按废标处理。</w:t>
      </w:r>
    </w:p>
    <w:p>
      <w:pPr>
        <w:pStyle w:val="2"/>
        <w:spacing w:line="480" w:lineRule="exact"/>
        <w:ind w:left="0" w:firstLine="528"/>
      </w:pPr>
      <w:r>
        <w:rPr>
          <w:rFonts w:hint="eastAsia"/>
        </w:rPr>
        <w:t>投标报价由投标人按照图纸和招标文件的要求，结合施工现场实际情况以及自身技术水平、管理水平、加工能力、经营状况、机械配备和制定的施工组织设计，自主报价。</w:t>
      </w:r>
    </w:p>
    <w:p>
      <w:pPr>
        <w:spacing w:line="480" w:lineRule="exact"/>
        <w:ind w:firstLine="482" w:firstLineChars="200"/>
        <w:rPr>
          <w:rFonts w:hAnsi="宋体" w:cs="宋体"/>
          <w:b/>
          <w:bCs/>
          <w:sz w:val="24"/>
          <w:szCs w:val="24"/>
        </w:rPr>
      </w:pPr>
      <w:r>
        <w:rPr>
          <w:rFonts w:hint="eastAsia" w:hAnsi="宋体" w:cs="宋体"/>
          <w:b/>
          <w:bCs/>
          <w:sz w:val="24"/>
          <w:szCs w:val="24"/>
        </w:rPr>
        <w:t>12.2</w:t>
      </w:r>
      <w:r>
        <w:rPr>
          <w:rFonts w:hint="eastAsia" w:hAnsi="宋体" w:cs="宋体"/>
          <w:b/>
          <w:bCs/>
          <w:sz w:val="24"/>
          <w:szCs w:val="24"/>
          <w:u w:val="single"/>
        </w:rPr>
        <w:t>投标报价所包含的内容明确如下</w:t>
      </w:r>
      <w:r>
        <w:rPr>
          <w:rFonts w:hint="eastAsia" w:hAnsi="宋体" w:cs="宋体"/>
          <w:b/>
          <w:bCs/>
          <w:sz w:val="24"/>
          <w:szCs w:val="24"/>
        </w:rPr>
        <w:t>：</w:t>
      </w:r>
    </w:p>
    <w:p>
      <w:pPr>
        <w:pStyle w:val="2"/>
        <w:spacing w:line="480" w:lineRule="exact"/>
        <w:ind w:left="0" w:firstLine="480"/>
        <w:jc w:val="left"/>
        <w:rPr>
          <w:b/>
          <w:bCs/>
        </w:rPr>
      </w:pPr>
      <w:bookmarkStart w:id="2" w:name="_Hlk44317484"/>
      <w:r>
        <w:rPr>
          <w:rFonts w:hint="eastAsia" w:hAnsi="宋体" w:cs="宋体"/>
          <w:spacing w:val="0"/>
        </w:rPr>
        <w:t>详见投标文件投标报价说明。</w:t>
      </w:r>
    </w:p>
    <w:bookmarkEnd w:id="2"/>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2.3</w:t>
      </w:r>
      <w:r>
        <w:rPr>
          <w:rFonts w:hint="eastAsia" w:hAnsi="宋体" w:cs="宋体"/>
          <w:sz w:val="24"/>
          <w:szCs w:val="24"/>
        </w:rPr>
        <w:t>计量方式：</w:t>
      </w:r>
    </w:p>
    <w:p>
      <w:pPr>
        <w:pStyle w:val="2"/>
        <w:spacing w:line="480" w:lineRule="exact"/>
        <w:ind w:left="0" w:firstLine="528"/>
        <w:rPr>
          <w:u w:val="single"/>
        </w:rPr>
      </w:pPr>
      <w:r>
        <w:rPr>
          <w:rFonts w:hint="eastAsia"/>
          <w:u w:val="single"/>
        </w:rPr>
        <w:t>1、所涉及的标高按双方及设计、监理单位确认的断面图及现场实测标高据实结算。</w:t>
      </w:r>
    </w:p>
    <w:p>
      <w:pPr>
        <w:pStyle w:val="2"/>
        <w:spacing w:line="480" w:lineRule="exact"/>
        <w:ind w:left="0" w:firstLine="528"/>
        <w:rPr>
          <w:u w:val="single"/>
        </w:rPr>
      </w:pPr>
      <w:r>
        <w:rPr>
          <w:rFonts w:hint="eastAsia"/>
          <w:u w:val="single"/>
        </w:rPr>
        <w:t>土方回填或开挖时须按招标人审核通过的方案进行回填或开挖；回填或开挖前，原地面标高经现场相关方测量确定，投标人须无条件认可该测定的原地面标高；投标人进场后需进行地面现状高程、回填范围及深度等抄测复核，回填或开挖后，</w:t>
      </w:r>
    </w:p>
    <w:p>
      <w:pPr>
        <w:pStyle w:val="2"/>
        <w:spacing w:line="480" w:lineRule="exact"/>
        <w:ind w:left="0" w:firstLine="528"/>
        <w:rPr>
          <w:u w:val="single"/>
        </w:rPr>
      </w:pPr>
      <w:r>
        <w:rPr>
          <w:u w:val="single"/>
        </w:rPr>
        <w:t>2</w:t>
      </w:r>
      <w:r>
        <w:rPr>
          <w:rFonts w:hint="eastAsia"/>
          <w:u w:val="single"/>
        </w:rPr>
        <w:t>、回填土的工程量依据土方开挖、回填方案及相关基坑交接证明文件</w:t>
      </w:r>
      <w:r>
        <w:rPr>
          <w:rFonts w:hint="eastAsia"/>
          <w:b/>
          <w:bCs/>
          <w:u w:val="single"/>
        </w:rPr>
        <w:t>以挖掘前的天然密实体积计算</w:t>
      </w:r>
      <w:r>
        <w:rPr>
          <w:rFonts w:hint="eastAsia"/>
          <w:u w:val="single"/>
        </w:rPr>
        <w:t>。回填土的数量为压实固结后的数量。投标人必须在报价中考虑开挖后土石方体积膨胀因素。</w:t>
      </w:r>
    </w:p>
    <w:p>
      <w:pPr>
        <w:pStyle w:val="2"/>
        <w:spacing w:line="480" w:lineRule="exact"/>
        <w:ind w:left="0" w:firstLine="528"/>
        <w:rPr>
          <w:u w:val="single"/>
        </w:rPr>
      </w:pPr>
      <w:r>
        <w:rPr>
          <w:rFonts w:hint="eastAsia"/>
          <w:u w:val="single"/>
        </w:rPr>
        <w:t>3、土方外运体积以天然密实体积计算；</w:t>
      </w:r>
    </w:p>
    <w:p>
      <w:pPr>
        <w:pStyle w:val="2"/>
        <w:spacing w:line="480" w:lineRule="exact"/>
        <w:ind w:left="0" w:firstLine="528"/>
        <w:rPr>
          <w:u w:val="single"/>
        </w:rPr>
      </w:pPr>
      <w:r>
        <w:rPr>
          <w:u w:val="single"/>
        </w:rPr>
        <w:t>4</w:t>
      </w:r>
      <w:r>
        <w:rPr>
          <w:rFonts w:hint="eastAsia"/>
          <w:u w:val="single"/>
        </w:rPr>
        <w:t>、土方内倒、堆置，虚土体积乘以0.70计量（如开挖前为天然密实土则以开挖的密实土方尺寸计量）；施工时不得以任何理由增加任何其他费用。</w:t>
      </w:r>
    </w:p>
    <w:p>
      <w:pPr>
        <w:pStyle w:val="2"/>
        <w:spacing w:line="480" w:lineRule="exact"/>
        <w:ind w:left="0" w:firstLine="528"/>
        <w:rPr>
          <w:u w:val="single"/>
        </w:rPr>
      </w:pPr>
      <w:r>
        <w:rPr>
          <w:rFonts w:hint="eastAsia"/>
          <w:u w:val="single"/>
        </w:rPr>
        <w:t>5、使用的零星机械需有工长开据、相关负责人审批的机械台班使用审批单，作为开具完工任务书、结算单依据。垃圾清运及单次车辆运输需要有招标人开据的运输小票作为结算依据。</w:t>
      </w:r>
    </w:p>
    <w:p>
      <w:pPr>
        <w:spacing w:line="480" w:lineRule="exact"/>
        <w:ind w:firstLine="482" w:firstLineChars="200"/>
        <w:rPr>
          <w:rFonts w:hAnsi="宋体" w:cs="宋体"/>
          <w:b/>
          <w:bCs/>
          <w:sz w:val="24"/>
          <w:szCs w:val="24"/>
        </w:rPr>
      </w:pPr>
      <w:r>
        <w:rPr>
          <w:rFonts w:hAnsi="宋体" w:cs="宋体"/>
          <w:b/>
          <w:bCs/>
          <w:sz w:val="24"/>
          <w:szCs w:val="24"/>
        </w:rPr>
        <w:t>13</w:t>
      </w:r>
      <w:r>
        <w:rPr>
          <w:rFonts w:hint="eastAsia" w:hAnsi="宋体" w:cs="宋体"/>
          <w:b/>
          <w:bCs/>
          <w:sz w:val="24"/>
          <w:szCs w:val="24"/>
        </w:rPr>
        <w:t>、付款方式：</w:t>
      </w:r>
    </w:p>
    <w:p>
      <w:pPr>
        <w:spacing w:line="480" w:lineRule="exact"/>
        <w:ind w:firstLine="480" w:firstLineChars="200"/>
        <w:rPr>
          <w:rFonts w:hAnsi="宋体" w:cs="宋体"/>
          <w:sz w:val="24"/>
          <w:szCs w:val="24"/>
          <w:u w:val="single"/>
        </w:rPr>
      </w:pPr>
      <w:r>
        <w:rPr>
          <w:rFonts w:hint="eastAsia" w:hAnsi="宋体" w:cs="宋体"/>
          <w:sz w:val="24"/>
          <w:szCs w:val="24"/>
          <w:u w:val="single"/>
        </w:rPr>
        <w:t>见合同条款</w:t>
      </w:r>
    </w:p>
    <w:p>
      <w:pPr>
        <w:spacing w:line="480" w:lineRule="exact"/>
        <w:ind w:firstLine="482" w:firstLineChars="200"/>
        <w:rPr>
          <w:rFonts w:hAnsi="宋体" w:cs="宋体"/>
          <w:b/>
          <w:bCs/>
          <w:sz w:val="24"/>
          <w:szCs w:val="24"/>
        </w:rPr>
      </w:pPr>
      <w:r>
        <w:rPr>
          <w:rFonts w:hAnsi="宋体" w:cs="宋体"/>
          <w:b/>
          <w:bCs/>
          <w:sz w:val="24"/>
          <w:szCs w:val="24"/>
        </w:rPr>
        <w:t>14</w:t>
      </w:r>
      <w:r>
        <w:rPr>
          <w:rFonts w:hint="eastAsia" w:hAnsi="宋体" w:cs="宋体"/>
          <w:b/>
          <w:bCs/>
          <w:sz w:val="24"/>
          <w:szCs w:val="24"/>
        </w:rPr>
        <w:t>、投标货币</w:t>
      </w:r>
    </w:p>
    <w:p>
      <w:pPr>
        <w:spacing w:line="480" w:lineRule="exact"/>
        <w:ind w:firstLine="480" w:firstLineChars="200"/>
        <w:rPr>
          <w:rFonts w:hAnsi="宋体" w:cs="宋体"/>
          <w:sz w:val="24"/>
          <w:szCs w:val="24"/>
        </w:rPr>
      </w:pPr>
      <w:r>
        <w:rPr>
          <w:rFonts w:hint="eastAsia" w:hAnsi="宋体" w:cs="宋体"/>
          <w:sz w:val="24"/>
          <w:szCs w:val="24"/>
        </w:rPr>
        <w:t>14.1 本工程投标报价采用的币种为人民币。</w:t>
      </w:r>
    </w:p>
    <w:p>
      <w:pPr>
        <w:spacing w:line="480" w:lineRule="exact"/>
        <w:ind w:firstLine="482" w:firstLineChars="200"/>
        <w:rPr>
          <w:rFonts w:hAnsi="宋体" w:cs="宋体"/>
          <w:b/>
          <w:bCs/>
          <w:sz w:val="24"/>
          <w:szCs w:val="24"/>
        </w:rPr>
      </w:pPr>
      <w:r>
        <w:rPr>
          <w:rFonts w:hAnsi="宋体" w:cs="宋体"/>
          <w:b/>
          <w:bCs/>
          <w:sz w:val="24"/>
          <w:szCs w:val="24"/>
        </w:rPr>
        <w:t>15</w:t>
      </w:r>
      <w:r>
        <w:rPr>
          <w:rFonts w:hint="eastAsia" w:hAnsi="宋体" w:cs="宋体"/>
          <w:b/>
          <w:bCs/>
          <w:sz w:val="24"/>
          <w:szCs w:val="24"/>
        </w:rPr>
        <w:t>、投标有效期</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5</w:t>
      </w:r>
      <w:r>
        <w:rPr>
          <w:rFonts w:hint="eastAsia" w:hAnsi="宋体" w:cs="宋体"/>
          <w:sz w:val="24"/>
          <w:szCs w:val="24"/>
        </w:rPr>
        <w:t>.1 投标有效期见投标人须知前附表所规定的期限，在此期限内，凡符合本招标文件要求的投标文件均保持有效。</w:t>
      </w:r>
    </w:p>
    <w:p>
      <w:pPr>
        <w:spacing w:line="480" w:lineRule="exact"/>
        <w:ind w:firstLine="482" w:firstLineChars="200"/>
        <w:rPr>
          <w:rFonts w:hAnsi="宋体" w:cs="宋体"/>
          <w:b/>
          <w:sz w:val="24"/>
          <w:szCs w:val="24"/>
        </w:rPr>
      </w:pPr>
      <w:r>
        <w:rPr>
          <w:rFonts w:hAnsi="宋体" w:cs="宋体"/>
          <w:b/>
          <w:sz w:val="24"/>
          <w:szCs w:val="24"/>
        </w:rPr>
        <w:t>16</w:t>
      </w:r>
      <w:r>
        <w:rPr>
          <w:rFonts w:hint="eastAsia" w:hAnsi="宋体" w:cs="宋体"/>
          <w:b/>
          <w:sz w:val="24"/>
          <w:szCs w:val="24"/>
        </w:rPr>
        <w:t>、投标保证金</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.1 投标人应在提交投标文件的同时，按有关规定提交本须知前附表所规定数额的投标保证金，并作为其投标文件的一部分。</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.2投标人应按投标须知前附表中要求提交投标保证金。</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.3 对于未能按要求提交投标保证金的投标，招标人将视为不响应招标文件而予以拒绝。</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.4投标保证金的退还</w:t>
      </w:r>
    </w:p>
    <w:p>
      <w:pPr>
        <w:spacing w:line="480" w:lineRule="exact"/>
        <w:ind w:firstLine="480" w:firstLineChars="200"/>
        <w:rPr>
          <w:rFonts w:hAnsi="宋体" w:cs="宋体"/>
          <w:sz w:val="24"/>
        </w:rPr>
      </w:pPr>
      <w:r>
        <w:rPr>
          <w:rFonts w:hint="eastAsia" w:hAnsi="宋体" w:cs="宋体"/>
          <w:sz w:val="24"/>
        </w:rPr>
        <w:t>招标人与中标人签订合同后5日内，向未中标的投标人退还投标保证金。</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.5 如投标人发生下列情况之一时，投标保证金将被没收：</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.5.1中标人未能在规定期限内签订合同协议或提交履约保证金。</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.5.2投标人在投标有效期撤回投标文件。</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.5.3投标过程中，存在围标、串标的投标人。</w:t>
      </w:r>
    </w:p>
    <w:p>
      <w:pPr>
        <w:spacing w:line="480" w:lineRule="exact"/>
        <w:ind w:firstLine="482" w:firstLineChars="200"/>
        <w:outlineLvl w:val="1"/>
        <w:rPr>
          <w:rFonts w:hAnsi="宋体" w:cs="宋体"/>
          <w:b/>
          <w:bCs/>
          <w:sz w:val="24"/>
          <w:szCs w:val="24"/>
        </w:rPr>
      </w:pPr>
      <w:r>
        <w:rPr>
          <w:rFonts w:hint="eastAsia" w:hAnsi="宋体" w:cs="宋体"/>
          <w:b/>
          <w:bCs/>
          <w:sz w:val="24"/>
          <w:szCs w:val="24"/>
        </w:rPr>
        <w:t>（四）开  标</w:t>
      </w:r>
    </w:p>
    <w:p>
      <w:pPr>
        <w:spacing w:line="480" w:lineRule="exact"/>
        <w:ind w:firstLine="482" w:firstLineChars="200"/>
        <w:rPr>
          <w:rFonts w:hAnsi="宋体" w:cs="宋体"/>
          <w:b/>
          <w:bCs/>
          <w:sz w:val="24"/>
          <w:szCs w:val="24"/>
        </w:rPr>
      </w:pPr>
      <w:r>
        <w:rPr>
          <w:rFonts w:hint="eastAsia" w:hAnsi="宋体" w:cs="宋体"/>
          <w:b/>
          <w:bCs/>
          <w:sz w:val="24"/>
          <w:szCs w:val="24"/>
        </w:rPr>
        <w:t>17、开标</w:t>
      </w:r>
    </w:p>
    <w:p>
      <w:pPr>
        <w:spacing w:line="480" w:lineRule="exact"/>
        <w:ind w:firstLine="482" w:firstLineChars="200"/>
        <w:rPr>
          <w:rFonts w:hAnsi="宋体" w:cs="宋体"/>
          <w:b/>
          <w:sz w:val="24"/>
          <w:szCs w:val="24"/>
        </w:rPr>
      </w:pPr>
      <w:r>
        <w:rPr>
          <w:rFonts w:hint="eastAsia" w:hAnsi="宋体" w:cs="宋体"/>
          <w:b/>
          <w:sz w:val="24"/>
          <w:szCs w:val="24"/>
        </w:rPr>
        <w:t xml:space="preserve">17.1 </w:t>
      </w:r>
      <w:r>
        <w:rPr>
          <w:rFonts w:hint="eastAsia" w:hAnsi="宋体" w:cs="宋体"/>
          <w:sz w:val="24"/>
          <w:szCs w:val="24"/>
        </w:rPr>
        <w:t>招标人按投标人须知前附表所规定的时间和方式开标，所有投标人应准备充分并参加。</w:t>
      </w:r>
    </w:p>
    <w:p>
      <w:pPr>
        <w:spacing w:line="480" w:lineRule="exact"/>
        <w:ind w:firstLine="482" w:firstLineChars="200"/>
        <w:rPr>
          <w:rFonts w:hAnsi="宋体" w:cs="宋体"/>
          <w:b/>
          <w:sz w:val="24"/>
          <w:szCs w:val="24"/>
        </w:rPr>
      </w:pPr>
      <w:r>
        <w:rPr>
          <w:rFonts w:hint="eastAsia" w:hAnsi="宋体" w:cs="宋体"/>
          <w:b/>
          <w:sz w:val="24"/>
          <w:szCs w:val="24"/>
        </w:rPr>
        <w:t>17.2 开标程序：</w:t>
      </w:r>
    </w:p>
    <w:p>
      <w:pPr>
        <w:spacing w:line="480" w:lineRule="exact"/>
        <w:ind w:firstLine="482" w:firstLineChars="200"/>
        <w:jc w:val="left"/>
        <w:rPr>
          <w:rFonts w:hAnsi="宋体" w:cs="宋体"/>
          <w:b/>
          <w:bCs/>
          <w:spacing w:val="8"/>
          <w:sz w:val="24"/>
        </w:rPr>
      </w:pPr>
      <w:r>
        <w:rPr>
          <w:rFonts w:hint="eastAsia" w:hAnsi="宋体" w:cs="宋体"/>
          <w:b/>
          <w:sz w:val="24"/>
          <w:szCs w:val="24"/>
        </w:rPr>
        <w:t>17</w:t>
      </w:r>
      <w:r>
        <w:rPr>
          <w:rFonts w:hint="eastAsia" w:hAnsi="宋体" w:cs="宋体"/>
          <w:b/>
          <w:bCs/>
          <w:spacing w:val="8"/>
          <w:sz w:val="24"/>
        </w:rPr>
        <w:t>.2.1网上竞价阶段：</w:t>
      </w:r>
    </w:p>
    <w:p>
      <w:pPr>
        <w:spacing w:line="480" w:lineRule="exact"/>
        <w:ind w:firstLine="512" w:firstLineChars="200"/>
        <w:jc w:val="left"/>
        <w:rPr>
          <w:rFonts w:hAnsi="宋体" w:cs="宋体"/>
          <w:sz w:val="24"/>
          <w:szCs w:val="24"/>
        </w:rPr>
      </w:pPr>
      <w:r>
        <w:rPr>
          <w:rFonts w:hint="eastAsia" w:hAnsi="宋体" w:cs="宋体"/>
          <w:bCs/>
          <w:spacing w:val="8"/>
          <w:sz w:val="24"/>
        </w:rPr>
        <w:t>经过中采网招标平台注册并投标的单位应按规定的时间及要求上传投标文件。网上竞价阶段按照给出的格式填写报价，</w:t>
      </w:r>
      <w:r>
        <w:rPr>
          <w:rFonts w:hint="eastAsia" w:hAnsi="宋体" w:cs="宋体"/>
          <w:sz w:val="24"/>
          <w:szCs w:val="24"/>
        </w:rPr>
        <w:t>电子招标系统将根据网上竞价规则自动进行高位淘汰程序。</w:t>
      </w:r>
    </w:p>
    <w:p>
      <w:pPr>
        <w:spacing w:line="480" w:lineRule="exact"/>
        <w:ind w:firstLine="482" w:firstLineChars="200"/>
        <w:jc w:val="left"/>
        <w:rPr>
          <w:rFonts w:hAnsi="宋体" w:cs="宋体"/>
          <w:b/>
          <w:bCs/>
          <w:spacing w:val="8"/>
          <w:sz w:val="24"/>
        </w:rPr>
      </w:pPr>
      <w:r>
        <w:rPr>
          <w:rFonts w:hint="eastAsia" w:hAnsi="宋体" w:cs="宋体"/>
          <w:b/>
          <w:sz w:val="24"/>
          <w:szCs w:val="24"/>
        </w:rPr>
        <w:t>17</w:t>
      </w:r>
      <w:r>
        <w:rPr>
          <w:rFonts w:hint="eastAsia" w:hAnsi="宋体" w:cs="宋体"/>
          <w:b/>
          <w:bCs/>
          <w:spacing w:val="8"/>
          <w:sz w:val="24"/>
        </w:rPr>
        <w:t>.2.2洽商谈判阶段:</w:t>
      </w:r>
    </w:p>
    <w:p>
      <w:pPr>
        <w:spacing w:line="480" w:lineRule="exact"/>
        <w:ind w:firstLine="514" w:firstLineChars="200"/>
        <w:jc w:val="left"/>
        <w:rPr>
          <w:rFonts w:hAnsi="宋体" w:cs="宋体"/>
          <w:sz w:val="24"/>
          <w:szCs w:val="24"/>
        </w:rPr>
      </w:pPr>
      <w:r>
        <w:rPr>
          <w:rFonts w:hint="eastAsia" w:hAnsi="宋体" w:cs="宋体"/>
          <w:b/>
          <w:spacing w:val="8"/>
          <w:sz w:val="24"/>
        </w:rPr>
        <w:t>进入谈判阶段的投标单位需提供</w:t>
      </w:r>
      <w:r>
        <w:rPr>
          <w:rFonts w:hint="eastAsia" w:hAnsi="宋体" w:cs="宋体"/>
          <w:b/>
          <w:spacing w:val="8"/>
          <w:sz w:val="24"/>
          <w:u w:val="single"/>
        </w:rPr>
        <w:t>一正两副</w:t>
      </w:r>
      <w:r>
        <w:rPr>
          <w:rFonts w:hint="eastAsia" w:hAnsi="宋体" w:cs="宋体"/>
          <w:b/>
          <w:spacing w:val="8"/>
          <w:sz w:val="24"/>
        </w:rPr>
        <w:t>装订好的纸质版投标文件</w:t>
      </w:r>
      <w:r>
        <w:rPr>
          <w:rFonts w:hint="eastAsia" w:hAnsi="宋体" w:cs="宋体"/>
          <w:bCs/>
          <w:spacing w:val="8"/>
          <w:sz w:val="24"/>
        </w:rPr>
        <w:t>。</w:t>
      </w:r>
      <w:r>
        <w:rPr>
          <w:rFonts w:hint="eastAsia" w:hAnsi="宋体" w:cs="宋体"/>
          <w:sz w:val="24"/>
          <w:szCs w:val="24"/>
        </w:rPr>
        <w:t>谈判阶段的投标文件需打印或使用不褪色的蓝、黑墨水笔书写，字迹应清晰易于辨认。</w:t>
      </w:r>
      <w:r>
        <w:rPr>
          <w:rFonts w:hint="eastAsia" w:hAnsi="宋体" w:cs="宋体"/>
          <w:b/>
          <w:bCs/>
          <w:sz w:val="24"/>
          <w:szCs w:val="24"/>
          <w:u w:val="single"/>
        </w:rPr>
        <w:t>投标文件封面或扉页均应加盖投标人印章，并经法定代表人或其委托代理人签字或盖章，投标文件由委托代理人签字或盖章的，需同时提交投标文件授权委托书。</w:t>
      </w:r>
      <w:r>
        <w:rPr>
          <w:rFonts w:hint="eastAsia" w:hAnsi="宋体" w:cs="宋体"/>
          <w:sz w:val="24"/>
          <w:szCs w:val="24"/>
        </w:rPr>
        <w:t>全套投标文件应无涂改或行间插字和增删。如有修改，修改处应由投标人加盖投标人的印章或由委托代理人签字或盖章。</w:t>
      </w:r>
      <w:r>
        <w:rPr>
          <w:rFonts w:hint="eastAsia" w:hAnsi="宋体" w:cs="宋体"/>
          <w:b/>
          <w:bCs/>
          <w:sz w:val="24"/>
          <w:szCs w:val="24"/>
          <w:u w:val="single"/>
        </w:rPr>
        <w:t>投标报价需与最终的网上竞价一致。谈判阶段法人参加的必须出具法定代表人身份证明及身份证原件，委托代理人参加的必须出具授权委托书及身份证原件。</w:t>
      </w:r>
    </w:p>
    <w:p>
      <w:pPr>
        <w:spacing w:line="480" w:lineRule="exact"/>
        <w:ind w:firstLine="482" w:firstLineChars="200"/>
        <w:outlineLvl w:val="1"/>
        <w:rPr>
          <w:rFonts w:hAnsi="宋体" w:cs="宋体"/>
          <w:b/>
          <w:bCs/>
          <w:sz w:val="24"/>
          <w:szCs w:val="24"/>
        </w:rPr>
      </w:pPr>
      <w:r>
        <w:rPr>
          <w:rFonts w:hint="eastAsia" w:hAnsi="宋体" w:cs="宋体"/>
          <w:b/>
          <w:bCs/>
          <w:sz w:val="24"/>
          <w:szCs w:val="24"/>
        </w:rPr>
        <w:t>（五）评  标</w:t>
      </w:r>
    </w:p>
    <w:p>
      <w:pPr>
        <w:spacing w:line="480" w:lineRule="exact"/>
        <w:ind w:firstLine="482" w:firstLineChars="200"/>
        <w:rPr>
          <w:rFonts w:hAnsi="宋体" w:cs="宋体"/>
          <w:b/>
          <w:sz w:val="24"/>
          <w:szCs w:val="24"/>
        </w:rPr>
      </w:pPr>
      <w:r>
        <w:rPr>
          <w:rFonts w:hint="eastAsia" w:hAnsi="宋体" w:cs="宋体"/>
          <w:b/>
          <w:sz w:val="24"/>
          <w:szCs w:val="24"/>
        </w:rPr>
        <w:t>1</w:t>
      </w:r>
      <w:r>
        <w:rPr>
          <w:rFonts w:hAnsi="宋体" w:cs="宋体"/>
          <w:b/>
          <w:sz w:val="24"/>
          <w:szCs w:val="24"/>
        </w:rPr>
        <w:t>8</w:t>
      </w:r>
      <w:r>
        <w:rPr>
          <w:rFonts w:hint="eastAsia" w:hAnsi="宋体" w:cs="宋体"/>
          <w:b/>
          <w:sz w:val="24"/>
          <w:szCs w:val="24"/>
        </w:rPr>
        <w:t>、评标</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8</w:t>
      </w:r>
      <w:r>
        <w:rPr>
          <w:rFonts w:hint="eastAsia" w:hAnsi="宋体" w:cs="宋体"/>
          <w:sz w:val="24"/>
          <w:szCs w:val="24"/>
        </w:rPr>
        <w:t>.1评标的依据</w:t>
      </w:r>
    </w:p>
    <w:p>
      <w:pPr>
        <w:spacing w:line="480" w:lineRule="exact"/>
        <w:ind w:firstLine="480" w:firstLineChars="200"/>
        <w:rPr>
          <w:rFonts w:hAnsi="宋体" w:cs="宋体"/>
          <w:sz w:val="24"/>
          <w:szCs w:val="24"/>
        </w:rPr>
      </w:pPr>
      <w:r>
        <w:rPr>
          <w:rFonts w:hint="eastAsia" w:hAnsi="宋体" w:cs="宋体"/>
          <w:sz w:val="24"/>
          <w:szCs w:val="24"/>
        </w:rPr>
        <w:t>招标文件和投标文件。</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8</w:t>
      </w:r>
      <w:r>
        <w:rPr>
          <w:rFonts w:hint="eastAsia" w:hAnsi="宋体" w:cs="宋体"/>
          <w:sz w:val="24"/>
          <w:szCs w:val="24"/>
        </w:rPr>
        <w:t>.2评标原则</w:t>
      </w:r>
    </w:p>
    <w:p>
      <w:pPr>
        <w:spacing w:line="480" w:lineRule="exact"/>
        <w:ind w:firstLine="480" w:firstLineChars="200"/>
        <w:rPr>
          <w:rFonts w:hAnsi="宋体" w:cs="宋体"/>
          <w:sz w:val="24"/>
          <w:szCs w:val="24"/>
        </w:rPr>
      </w:pPr>
      <w:r>
        <w:rPr>
          <w:rFonts w:hint="eastAsia" w:hAnsi="宋体" w:cs="宋体"/>
          <w:sz w:val="24"/>
          <w:szCs w:val="24"/>
        </w:rPr>
        <w:t>评标将公平、公正，科学合理的原则进行评标工作。</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8</w:t>
      </w:r>
      <w:r>
        <w:rPr>
          <w:rFonts w:hint="eastAsia" w:hAnsi="宋体" w:cs="宋体"/>
          <w:sz w:val="24"/>
          <w:szCs w:val="24"/>
        </w:rPr>
        <w:t>.3评标内容</w:t>
      </w:r>
    </w:p>
    <w:p>
      <w:pPr>
        <w:spacing w:line="480" w:lineRule="exact"/>
        <w:ind w:firstLine="482" w:firstLineChars="200"/>
        <w:rPr>
          <w:rFonts w:hAnsi="宋体" w:cs="宋体"/>
          <w:b/>
          <w:sz w:val="24"/>
          <w:szCs w:val="24"/>
        </w:rPr>
      </w:pPr>
      <w:r>
        <w:rPr>
          <w:rFonts w:hint="eastAsia" w:hAnsi="宋体" w:cs="宋体"/>
          <w:b/>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80" w:lineRule="exact"/>
        <w:ind w:firstLine="482" w:firstLineChars="200"/>
        <w:outlineLvl w:val="1"/>
        <w:rPr>
          <w:rFonts w:hAnsi="宋体" w:cs="宋体"/>
          <w:b/>
          <w:bCs/>
          <w:sz w:val="24"/>
          <w:szCs w:val="24"/>
        </w:rPr>
      </w:pPr>
      <w:r>
        <w:rPr>
          <w:rFonts w:hint="eastAsia" w:hAnsi="宋体" w:cs="宋体"/>
          <w:b/>
          <w:bCs/>
          <w:sz w:val="24"/>
          <w:szCs w:val="24"/>
        </w:rPr>
        <w:t>（六）中标通知</w:t>
      </w:r>
    </w:p>
    <w:p>
      <w:pPr>
        <w:spacing w:line="480" w:lineRule="exact"/>
        <w:ind w:firstLine="482" w:firstLineChars="200"/>
        <w:rPr>
          <w:rFonts w:hAnsi="宋体" w:cs="宋体"/>
          <w:b/>
          <w:sz w:val="24"/>
          <w:szCs w:val="24"/>
        </w:rPr>
      </w:pPr>
      <w:r>
        <w:rPr>
          <w:rFonts w:hint="eastAsia" w:hAnsi="宋体" w:cs="宋体"/>
          <w:b/>
          <w:sz w:val="24"/>
          <w:szCs w:val="24"/>
        </w:rPr>
        <w:t>1</w:t>
      </w:r>
      <w:r>
        <w:rPr>
          <w:rFonts w:hAnsi="宋体" w:cs="宋体"/>
          <w:b/>
          <w:sz w:val="24"/>
          <w:szCs w:val="24"/>
        </w:rPr>
        <w:t>9</w:t>
      </w:r>
      <w:r>
        <w:rPr>
          <w:rFonts w:hint="eastAsia" w:hAnsi="宋体" w:cs="宋体"/>
          <w:b/>
          <w:sz w:val="24"/>
          <w:szCs w:val="24"/>
        </w:rPr>
        <w:t>、中标通知</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9</w:t>
      </w:r>
      <w:r>
        <w:rPr>
          <w:rFonts w:hint="eastAsia" w:hAnsi="宋体" w:cs="宋体"/>
          <w:sz w:val="24"/>
          <w:szCs w:val="24"/>
        </w:rPr>
        <w:t>.1招标人根据评标结果在投标谈判阶段结束后5日内向中标人发出中标通知。</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9</w:t>
      </w:r>
      <w:r>
        <w:rPr>
          <w:rFonts w:hint="eastAsia" w:hAnsi="宋体" w:cs="宋体"/>
          <w:sz w:val="24"/>
          <w:szCs w:val="24"/>
        </w:rPr>
        <w:t>.2在向中标人发出中标通知后，同时通知落标人。不解释落标原因，不退还投标文件。</w:t>
      </w:r>
    </w:p>
    <w:p>
      <w:pPr>
        <w:spacing w:line="480" w:lineRule="exact"/>
        <w:ind w:firstLine="482" w:firstLineChars="200"/>
        <w:outlineLvl w:val="1"/>
        <w:rPr>
          <w:rFonts w:hAnsi="宋体" w:cs="宋体"/>
          <w:b/>
          <w:bCs/>
          <w:sz w:val="24"/>
          <w:szCs w:val="24"/>
        </w:rPr>
      </w:pPr>
      <w:r>
        <w:rPr>
          <w:rFonts w:hint="eastAsia" w:hAnsi="宋体" w:cs="宋体"/>
          <w:b/>
          <w:bCs/>
          <w:sz w:val="24"/>
          <w:szCs w:val="24"/>
        </w:rPr>
        <w:t>（七）签订合同</w:t>
      </w:r>
    </w:p>
    <w:p>
      <w:pPr>
        <w:spacing w:line="480" w:lineRule="exact"/>
        <w:ind w:firstLine="482" w:firstLineChars="200"/>
        <w:rPr>
          <w:rFonts w:hAnsi="宋体" w:cs="宋体"/>
          <w:b/>
          <w:sz w:val="24"/>
          <w:szCs w:val="24"/>
        </w:rPr>
      </w:pPr>
      <w:r>
        <w:rPr>
          <w:rFonts w:hAnsi="宋体" w:cs="宋体"/>
          <w:b/>
          <w:sz w:val="24"/>
          <w:szCs w:val="24"/>
        </w:rPr>
        <w:t>20</w:t>
      </w:r>
      <w:r>
        <w:rPr>
          <w:rFonts w:hint="eastAsia" w:hAnsi="宋体" w:cs="宋体"/>
          <w:b/>
          <w:sz w:val="24"/>
          <w:szCs w:val="24"/>
        </w:rPr>
        <w:t>、签订合同</w:t>
      </w:r>
    </w:p>
    <w:p>
      <w:pPr>
        <w:spacing w:line="480" w:lineRule="exact"/>
        <w:ind w:firstLine="480" w:firstLineChars="200"/>
        <w:rPr>
          <w:rFonts w:hAnsi="宋体" w:cs="宋体"/>
          <w:sz w:val="24"/>
          <w:szCs w:val="24"/>
        </w:rPr>
      </w:pPr>
      <w:r>
        <w:rPr>
          <w:rFonts w:hAnsi="宋体" w:cs="宋体"/>
          <w:sz w:val="24"/>
          <w:szCs w:val="24"/>
        </w:rPr>
        <w:t>20</w:t>
      </w:r>
      <w:r>
        <w:rPr>
          <w:rFonts w:hint="eastAsia" w:hAnsi="宋体" w:cs="宋体"/>
          <w:sz w:val="24"/>
          <w:szCs w:val="24"/>
        </w:rPr>
        <w:t>.1中标人收到中标通知后7日内与招标人签订合同。</w:t>
      </w:r>
    </w:p>
    <w:p>
      <w:pPr>
        <w:spacing w:line="480" w:lineRule="exact"/>
        <w:ind w:firstLine="480" w:firstLineChars="200"/>
        <w:rPr>
          <w:rFonts w:hAnsi="宋体" w:cs="宋体"/>
          <w:sz w:val="24"/>
          <w:szCs w:val="24"/>
        </w:rPr>
      </w:pPr>
      <w:r>
        <w:rPr>
          <w:rFonts w:hAnsi="宋体" w:cs="宋体"/>
          <w:sz w:val="24"/>
          <w:szCs w:val="24"/>
        </w:rPr>
        <w:t>20</w:t>
      </w:r>
      <w:r>
        <w:rPr>
          <w:rFonts w:hint="eastAsia" w:hAnsi="宋体" w:cs="宋体"/>
          <w:sz w:val="24"/>
          <w:szCs w:val="24"/>
        </w:rPr>
        <w:t>.2拒签合同</w:t>
      </w:r>
    </w:p>
    <w:p>
      <w:pPr>
        <w:spacing w:line="480" w:lineRule="exact"/>
        <w:ind w:firstLine="480" w:firstLineChars="200"/>
        <w:rPr>
          <w:rFonts w:hAnsi="宋体" w:cs="宋体"/>
          <w:sz w:val="24"/>
          <w:szCs w:val="24"/>
        </w:rPr>
      </w:pPr>
      <w:r>
        <w:rPr>
          <w:rFonts w:hAnsi="宋体" w:cs="宋体"/>
          <w:sz w:val="24"/>
          <w:szCs w:val="24"/>
        </w:rPr>
        <w:t>20</w:t>
      </w:r>
      <w:r>
        <w:rPr>
          <w:rFonts w:hint="eastAsia" w:hAnsi="宋体" w:cs="宋体"/>
          <w:sz w:val="24"/>
          <w:szCs w:val="24"/>
        </w:rPr>
        <w:t>.2.1如因中标人原因拒签合同，则按违约处理。对违约方没收其投标保证金。</w:t>
      </w:r>
    </w:p>
    <w:p>
      <w:pPr>
        <w:spacing w:line="480" w:lineRule="exact"/>
        <w:ind w:firstLine="480" w:firstLineChars="200"/>
        <w:rPr>
          <w:rFonts w:hAnsi="宋体" w:cs="宋体"/>
          <w:sz w:val="24"/>
          <w:szCs w:val="24"/>
        </w:rPr>
      </w:pPr>
      <w:r>
        <w:rPr>
          <w:rFonts w:hAnsi="宋体" w:cs="宋体"/>
          <w:sz w:val="24"/>
          <w:szCs w:val="24"/>
        </w:rPr>
        <w:t>20</w:t>
      </w:r>
      <w:r>
        <w:rPr>
          <w:rFonts w:hint="eastAsia" w:hAnsi="宋体" w:cs="宋体"/>
          <w:sz w:val="24"/>
          <w:szCs w:val="24"/>
        </w:rPr>
        <w:t>.2.2 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80" w:lineRule="exact"/>
        <w:ind w:firstLine="480" w:firstLineChars="200"/>
        <w:rPr>
          <w:rFonts w:hAnsi="宋体" w:cs="宋体"/>
          <w:sz w:val="24"/>
          <w:szCs w:val="24"/>
        </w:rPr>
      </w:pPr>
      <w:r>
        <w:rPr>
          <w:rFonts w:hAnsi="宋体" w:cs="宋体"/>
          <w:sz w:val="24"/>
          <w:szCs w:val="24"/>
        </w:rPr>
        <w:t>20</w:t>
      </w:r>
      <w:r>
        <w:rPr>
          <w:rFonts w:hint="eastAsia" w:hAnsi="宋体" w:cs="宋体"/>
          <w:sz w:val="24"/>
          <w:szCs w:val="24"/>
        </w:rPr>
        <w:t>.3本招标文件是签订施工合同的主要依据，施工合同条款中涉及本招标文件的条件应当与招标文件相一致。若投标单位对合同条款无疑义时即可参与投标工作，若参加投标即对合同条款的认可。</w:t>
      </w:r>
    </w:p>
    <w:p>
      <w:pPr>
        <w:spacing w:line="480" w:lineRule="exact"/>
        <w:ind w:firstLine="480" w:firstLineChars="200"/>
        <w:rPr>
          <w:rFonts w:hAnsi="宋体" w:cs="宋体"/>
          <w:sz w:val="24"/>
          <w:szCs w:val="24"/>
        </w:rPr>
      </w:pPr>
      <w:r>
        <w:rPr>
          <w:rFonts w:hAnsi="宋体" w:cs="宋体"/>
          <w:sz w:val="24"/>
          <w:szCs w:val="24"/>
        </w:rPr>
        <w:t>20</w:t>
      </w:r>
      <w:r>
        <w:rPr>
          <w:rFonts w:hint="eastAsia" w:hAnsi="宋体" w:cs="宋体"/>
          <w:sz w:val="24"/>
          <w:szCs w:val="24"/>
        </w:rPr>
        <w:t>.4.本招标文件的解释权归招标人所有。</w:t>
      </w:r>
    </w:p>
    <w:p>
      <w:pPr>
        <w:pStyle w:val="14"/>
        <w:spacing w:line="400" w:lineRule="exact"/>
        <w:outlineLvl w:val="0"/>
        <w:rPr>
          <w:rFonts w:hAnsi="宋体" w:cs="宋体"/>
          <w:b/>
          <w:sz w:val="36"/>
        </w:rPr>
      </w:pPr>
      <w:r>
        <w:rPr>
          <w:rFonts w:hint="eastAsia" w:hAnsi="宋体" w:cs="宋体"/>
          <w:sz w:val="24"/>
          <w:szCs w:val="24"/>
        </w:rPr>
        <w:br w:type="page"/>
      </w:r>
      <w:r>
        <w:rPr>
          <w:rFonts w:hint="eastAsia" w:hAnsi="宋体" w:cs="宋体"/>
          <w:b/>
          <w:sz w:val="36"/>
        </w:rPr>
        <w:t>四、 合 同 主 要 条 款</w:t>
      </w:r>
    </w:p>
    <w:p>
      <w:pPr>
        <w:pStyle w:val="14"/>
        <w:spacing w:line="400" w:lineRule="exact"/>
        <w:ind w:firstLine="680" w:firstLineChars="200"/>
        <w:rPr>
          <w:rFonts w:hAnsi="宋体" w:cs="宋体"/>
        </w:rPr>
      </w:pPr>
    </w:p>
    <w:p>
      <w:pPr>
        <w:spacing w:line="400" w:lineRule="exact"/>
        <w:ind w:firstLine="472" w:firstLineChars="196"/>
        <w:rPr>
          <w:rFonts w:hAnsi="宋体" w:cs="宋体"/>
          <w:bCs/>
          <w:sz w:val="24"/>
        </w:rPr>
      </w:pPr>
      <w:r>
        <w:rPr>
          <w:rFonts w:hint="eastAsia" w:hAnsi="宋体" w:cs="宋体"/>
          <w:b/>
          <w:bCs/>
          <w:sz w:val="24"/>
        </w:rPr>
        <w:t>一、工程质量：</w:t>
      </w:r>
      <w:r>
        <w:rPr>
          <w:rFonts w:hint="eastAsia" w:hAnsi="宋体" w:cs="宋体"/>
          <w:bCs/>
          <w:sz w:val="24"/>
        </w:rPr>
        <w:t>符合现行国家有关工程施工验收规范和标准的要求（合格），并满足雄安新区相关文件对于工程质量的要求。争创河北省建筑工程安济杯奖（省优质工程）。</w:t>
      </w:r>
    </w:p>
    <w:p>
      <w:pPr>
        <w:spacing w:line="400" w:lineRule="exact"/>
        <w:ind w:firstLine="472" w:firstLineChars="196"/>
        <w:rPr>
          <w:rFonts w:hAnsi="宋体" w:cs="宋体"/>
          <w:b/>
          <w:bCs/>
          <w:sz w:val="24"/>
        </w:rPr>
      </w:pPr>
      <w:r>
        <w:rPr>
          <w:rFonts w:hint="eastAsia" w:hAnsi="宋体" w:cs="宋体"/>
          <w:b/>
          <w:bCs/>
          <w:sz w:val="24"/>
        </w:rPr>
        <w:t>二、工程工期：</w:t>
      </w:r>
    </w:p>
    <w:p>
      <w:pPr>
        <w:spacing w:line="400" w:lineRule="exact"/>
        <w:ind w:firstLine="470" w:firstLineChars="196"/>
        <w:rPr>
          <w:rFonts w:hAnsi="宋体" w:cs="宋体"/>
          <w:bCs/>
          <w:sz w:val="24"/>
        </w:rPr>
      </w:pPr>
      <w:r>
        <w:rPr>
          <w:rFonts w:hint="eastAsia" w:hAnsi="宋体" w:cs="宋体"/>
          <w:bCs/>
          <w:sz w:val="24"/>
        </w:rPr>
        <w:t>分包方应充分考虑雾霾天气等情况造成的停工，因不可抗力、疫情防控、政策或政府会议、检查等原因造成的停工原因造成的停工，分包方需制定有效措施保证按总包方制定的节点完成工期。</w:t>
      </w:r>
    </w:p>
    <w:p>
      <w:pPr>
        <w:spacing w:line="400" w:lineRule="exact"/>
        <w:ind w:firstLine="472" w:firstLineChars="196"/>
        <w:rPr>
          <w:rFonts w:hAnsi="宋体" w:cs="宋体"/>
          <w:bCs/>
          <w:sz w:val="24"/>
        </w:rPr>
      </w:pPr>
      <w:r>
        <w:rPr>
          <w:rFonts w:hint="eastAsia" w:hAnsi="宋体" w:cs="宋体"/>
          <w:b/>
          <w:bCs/>
          <w:sz w:val="24"/>
        </w:rPr>
        <w:t>三、安全施工：</w:t>
      </w:r>
    </w:p>
    <w:p>
      <w:pPr>
        <w:spacing w:line="400" w:lineRule="exact"/>
        <w:ind w:firstLine="480" w:firstLineChars="200"/>
        <w:rPr>
          <w:rFonts w:hAnsi="宋体" w:cs="宋体"/>
          <w:bCs/>
          <w:sz w:val="24"/>
        </w:rPr>
      </w:pPr>
      <w:r>
        <w:rPr>
          <w:rFonts w:hint="eastAsia" w:hAnsi="宋体" w:cs="宋体"/>
          <w:bCs/>
          <w:sz w:val="24"/>
        </w:rPr>
        <w:t>1.分包方应遵守工程建设安全生产有关管理规定，严格按安全标准组织施工，并接受本工程建设、监理、招标方管理以及行业安全检查人员依法实施的监督检查，采取必要的安全防护措施，消除事故隐患，杜</w:t>
      </w:r>
      <w:r>
        <w:rPr>
          <w:rFonts w:hint="eastAsia" w:hAnsi="宋体" w:cs="宋体"/>
          <w:bCs/>
          <w:sz w:val="24"/>
          <w:szCs w:val="21"/>
        </w:rPr>
        <w:t>绝死亡事故。</w:t>
      </w:r>
      <w:r>
        <w:rPr>
          <w:rFonts w:hint="eastAsia" w:hAnsi="宋体" w:cs="宋体"/>
          <w:bCs/>
          <w:sz w:val="24"/>
        </w:rPr>
        <w:t>由于分包方安全教育、措施不力造成安全事故的责任和因此发生的费用，由分包方承担。</w:t>
      </w:r>
    </w:p>
    <w:p>
      <w:pPr>
        <w:spacing w:line="400" w:lineRule="exact"/>
        <w:ind w:firstLine="480" w:firstLineChars="200"/>
        <w:rPr>
          <w:rFonts w:hAnsi="宋体" w:cs="宋体"/>
          <w:bCs/>
          <w:sz w:val="24"/>
          <w:szCs w:val="21"/>
        </w:rPr>
      </w:pPr>
      <w:r>
        <w:rPr>
          <w:rFonts w:hint="eastAsia" w:hAnsi="宋体" w:cs="宋体"/>
          <w:bCs/>
          <w:sz w:val="24"/>
        </w:rPr>
        <w:t>2.分包方应对其在施工场地的工作人员进行安全教育，并对其安全负责。</w:t>
      </w:r>
      <w:r>
        <w:rPr>
          <w:rFonts w:hint="eastAsia" w:hAnsi="宋体" w:cs="宋体"/>
          <w:bCs/>
          <w:sz w:val="24"/>
          <w:szCs w:val="21"/>
        </w:rPr>
        <w:t>总承包方不得要求分包方违反安全管理的规定进行施工。</w:t>
      </w:r>
    </w:p>
    <w:p>
      <w:pPr>
        <w:spacing w:line="400" w:lineRule="exact"/>
        <w:ind w:firstLine="480" w:firstLineChars="200"/>
        <w:rPr>
          <w:rFonts w:hAnsi="宋体" w:cs="宋体"/>
          <w:bCs/>
          <w:sz w:val="24"/>
          <w:szCs w:val="22"/>
        </w:rPr>
      </w:pPr>
      <w:r>
        <w:rPr>
          <w:rFonts w:hint="eastAsia" w:hAnsi="宋体" w:cs="宋体"/>
          <w:bCs/>
          <w:sz w:val="24"/>
          <w:szCs w:val="22"/>
        </w:rPr>
        <w:t>3.确保无重伤及死亡事故，确保现场文明施工达到省级文明工地。执行标准需执行国家、河北省及雄安新区现行安全生产文明施工验评标准。</w:t>
      </w:r>
    </w:p>
    <w:p>
      <w:pPr>
        <w:spacing w:line="400" w:lineRule="exact"/>
        <w:ind w:firstLine="472" w:firstLineChars="196"/>
        <w:rPr>
          <w:rFonts w:hAnsi="宋体" w:cs="宋体"/>
          <w:b/>
          <w:bCs/>
          <w:sz w:val="24"/>
        </w:rPr>
      </w:pPr>
      <w:r>
        <w:rPr>
          <w:rFonts w:hint="eastAsia" w:hAnsi="宋体" w:cs="宋体"/>
          <w:b/>
          <w:bCs/>
          <w:sz w:val="24"/>
        </w:rPr>
        <w:t>四、工程款（进度款）支付</w:t>
      </w:r>
    </w:p>
    <w:p>
      <w:pPr>
        <w:spacing w:line="460" w:lineRule="exact"/>
        <w:ind w:firstLine="480" w:firstLineChars="200"/>
        <w:rPr>
          <w:rFonts w:hAnsi="宋体" w:cs="宋体"/>
          <w:bCs/>
          <w:sz w:val="24"/>
          <w:szCs w:val="22"/>
        </w:rPr>
      </w:pPr>
      <w:r>
        <w:rPr>
          <w:rFonts w:hint="eastAsia" w:hAnsi="宋体" w:cs="宋体"/>
          <w:bCs/>
          <w:sz w:val="24"/>
          <w:szCs w:val="22"/>
        </w:rPr>
        <w:t>1.本工程按月形象进度支付，每月分包方向总承包方递交进度款申请，总承包方收到申请后进行审核，审核完成30日内支付分包方工程进度款，支付比例为</w:t>
      </w:r>
      <w:r>
        <w:rPr>
          <w:rFonts w:hAnsi="宋体" w:cs="宋体"/>
          <w:bCs/>
          <w:sz w:val="24"/>
          <w:szCs w:val="22"/>
        </w:rPr>
        <w:t>70</w:t>
      </w:r>
      <w:r>
        <w:rPr>
          <w:rFonts w:hint="eastAsia" w:hAnsi="宋体" w:cs="宋体"/>
          <w:bCs/>
          <w:sz w:val="24"/>
          <w:szCs w:val="22"/>
        </w:rPr>
        <w:t>% ；分包方工程全部完毕且验收合格后，付至分包方已完工程款的</w:t>
      </w:r>
      <w:r>
        <w:rPr>
          <w:rFonts w:hAnsi="宋体" w:cs="宋体"/>
          <w:bCs/>
          <w:sz w:val="24"/>
          <w:szCs w:val="22"/>
        </w:rPr>
        <w:t>85</w:t>
      </w:r>
      <w:r>
        <w:rPr>
          <w:rFonts w:hint="eastAsia" w:hAnsi="宋体" w:cs="宋体"/>
          <w:bCs/>
          <w:sz w:val="24"/>
          <w:szCs w:val="22"/>
        </w:rPr>
        <w:t>% ；总承包方工程全部完成并验收合格后总承包方付分包方完成工程款的97%；剩余3% 待工程全部完毕且验收合格后两年内付清。</w:t>
      </w:r>
    </w:p>
    <w:p>
      <w:pPr>
        <w:spacing w:line="460" w:lineRule="exact"/>
        <w:ind w:firstLine="480" w:firstLineChars="200"/>
        <w:rPr>
          <w:rFonts w:hAnsi="宋体" w:cs="宋体"/>
          <w:bCs/>
          <w:sz w:val="24"/>
          <w:szCs w:val="22"/>
        </w:rPr>
      </w:pPr>
      <w:r>
        <w:rPr>
          <w:rFonts w:hint="eastAsia" w:hAnsi="宋体" w:cs="宋体"/>
          <w:bCs/>
          <w:sz w:val="24"/>
          <w:szCs w:val="22"/>
        </w:rPr>
        <w:t>支付方式，暂定支付比例至少8</w:t>
      </w:r>
      <w:r>
        <w:rPr>
          <w:rFonts w:hAnsi="宋体" w:cs="宋体"/>
          <w:bCs/>
          <w:sz w:val="24"/>
          <w:szCs w:val="22"/>
        </w:rPr>
        <w:t>2</w:t>
      </w:r>
      <w:r>
        <w:rPr>
          <w:rFonts w:hint="eastAsia" w:hAnsi="宋体" w:cs="宋体"/>
          <w:bCs/>
          <w:sz w:val="24"/>
          <w:szCs w:val="22"/>
        </w:rPr>
        <w:t>%以一年期电子银行承兑汇票或网络供应链产品（如建行e信通、工行e信等）或银行转账进行支付，不贴息。</w:t>
      </w:r>
    </w:p>
    <w:p>
      <w:pPr>
        <w:snapToGrid w:val="0"/>
        <w:spacing w:line="400" w:lineRule="exact"/>
        <w:ind w:firstLine="480" w:firstLineChars="200"/>
        <w:rPr>
          <w:rFonts w:hAnsi="宋体" w:cs="宋体"/>
          <w:sz w:val="24"/>
        </w:rPr>
      </w:pPr>
      <w:r>
        <w:rPr>
          <w:rFonts w:hint="eastAsia" w:hAnsi="宋体" w:cs="宋体"/>
          <w:bCs/>
          <w:sz w:val="24"/>
        </w:rPr>
        <w:t>3.分包方结算必须执行河北建工集团百分考核制。</w:t>
      </w:r>
    </w:p>
    <w:p>
      <w:pPr>
        <w:spacing w:line="400" w:lineRule="exact"/>
        <w:ind w:firstLine="480" w:firstLineChars="200"/>
        <w:rPr>
          <w:rFonts w:hAnsi="宋体" w:cs="宋体"/>
          <w:bCs/>
          <w:sz w:val="24"/>
        </w:rPr>
      </w:pPr>
      <w:r>
        <w:rPr>
          <w:rFonts w:hint="eastAsia" w:hAnsi="宋体" w:cs="宋体"/>
          <w:bCs/>
          <w:sz w:val="24"/>
        </w:rPr>
        <w:t>4.付款前分包方必须向招标方出具</w:t>
      </w:r>
      <w:r>
        <w:rPr>
          <w:rFonts w:hint="eastAsia" w:hAnsi="宋体" w:cs="宋体"/>
          <w:b/>
          <w:sz w:val="24"/>
          <w:u w:val="single"/>
        </w:rPr>
        <w:t>9%</w:t>
      </w:r>
      <w:r>
        <w:rPr>
          <w:rFonts w:hint="eastAsia" w:hAnsi="宋体" w:cs="宋体"/>
          <w:bCs/>
          <w:sz w:val="24"/>
          <w:u w:val="single"/>
        </w:rPr>
        <w:t>增值税专用发票及收据</w:t>
      </w:r>
      <w:r>
        <w:rPr>
          <w:rFonts w:hint="eastAsia" w:hAnsi="宋体" w:cs="宋体"/>
          <w:bCs/>
          <w:sz w:val="24"/>
        </w:rPr>
        <w:t>作为收款凭证。</w:t>
      </w:r>
    </w:p>
    <w:p>
      <w:pPr>
        <w:snapToGrid w:val="0"/>
        <w:spacing w:line="400" w:lineRule="exact"/>
        <w:ind w:firstLine="480" w:firstLineChars="200"/>
        <w:rPr>
          <w:rFonts w:hAnsi="宋体" w:cs="宋体"/>
          <w:bCs/>
          <w:sz w:val="24"/>
        </w:rPr>
      </w:pPr>
      <w:r>
        <w:rPr>
          <w:rFonts w:hint="eastAsia" w:hAnsi="宋体" w:cs="宋体"/>
          <w:bCs/>
          <w:sz w:val="24"/>
        </w:rPr>
        <w:t>5.分包方需遵守建设单位、总承包方的区块链管理要求及劳务实名制等相关规定。</w:t>
      </w:r>
    </w:p>
    <w:p>
      <w:pPr>
        <w:snapToGrid w:val="0"/>
        <w:spacing w:line="400" w:lineRule="exact"/>
        <w:ind w:firstLine="480" w:firstLineChars="200"/>
        <w:rPr>
          <w:rFonts w:hAnsi="宋体" w:cs="宋体"/>
          <w:bCs/>
          <w:sz w:val="24"/>
          <w:szCs w:val="22"/>
        </w:rPr>
      </w:pPr>
      <w:r>
        <w:rPr>
          <w:rFonts w:hint="eastAsia" w:hAnsi="宋体" w:cs="宋体"/>
          <w:bCs/>
          <w:sz w:val="24"/>
          <w:szCs w:val="22"/>
        </w:rPr>
        <w:t>6.分包方应按照住房和城乡建设部、人力资源社会保障部制定的《建筑工人实名制管理办法（试行）》的要求，在施工现场全面落实建筑工人实名制，该费用已含入合同价格中。建设者工资保障金/农民工工资保障金须符合雄安新区政策要求。</w:t>
      </w:r>
    </w:p>
    <w:p>
      <w:pPr>
        <w:snapToGrid w:val="0"/>
        <w:spacing w:line="400" w:lineRule="exact"/>
        <w:ind w:firstLine="480" w:firstLineChars="200"/>
        <w:rPr>
          <w:rFonts w:hAnsi="宋体" w:cs="宋体"/>
          <w:bCs/>
          <w:sz w:val="24"/>
        </w:rPr>
      </w:pPr>
      <w:r>
        <w:rPr>
          <w:rFonts w:hint="eastAsia" w:hAnsi="宋体" w:cs="宋体"/>
          <w:bCs/>
          <w:sz w:val="24"/>
        </w:rPr>
        <w:t>7.分包方开具的票据必须是由分包方从其发票主管税务机关购领或经其主管税务机关批准自印或监制的发票；分包方必须保证提供给总承包方的发票的票面数据与分包方缴销税务机关和分包方所留存的发票存根联填列数据相符；因分包方提供的发票不符合税务部门的要求，导致总承包方从分包方取得的增值税专用发票不能报验抵扣进项税金，或虽可通过报验但报验后被税务机关以“比对不符”或“失控发票”等事由追缴税款，而给招标方造成的经济损失，由分包方负责赔偿，应赔偿款项包含但不限于需要给税务局补缴的税费、滞纳金、罚款以及实现上述债权支出的律师费、差旅费等费用。</w:t>
      </w:r>
    </w:p>
    <w:p>
      <w:pPr>
        <w:spacing w:line="400" w:lineRule="exact"/>
        <w:ind w:firstLine="482" w:firstLineChars="200"/>
        <w:rPr>
          <w:rFonts w:hAnsi="宋体" w:cs="宋体"/>
          <w:b/>
          <w:bCs/>
          <w:sz w:val="24"/>
        </w:rPr>
      </w:pPr>
      <w:r>
        <w:rPr>
          <w:rFonts w:hint="eastAsia" w:hAnsi="宋体" w:cs="宋体"/>
          <w:b/>
          <w:bCs/>
          <w:sz w:val="24"/>
        </w:rPr>
        <w:t>五、合同的履行、终止和解除</w:t>
      </w:r>
    </w:p>
    <w:p>
      <w:pPr>
        <w:spacing w:line="400" w:lineRule="exact"/>
        <w:ind w:firstLine="480" w:firstLineChars="200"/>
        <w:rPr>
          <w:rFonts w:hAnsi="宋体" w:cs="宋体"/>
          <w:bCs/>
          <w:sz w:val="24"/>
        </w:rPr>
      </w:pPr>
      <w:r>
        <w:rPr>
          <w:rFonts w:hint="eastAsia" w:hAnsi="宋体" w:cs="宋体"/>
          <w:bCs/>
          <w:sz w:val="24"/>
        </w:rPr>
        <w:t>在施工过程中，如工程质量不能满足相关规定和要求，不能按照总承包方指令进行施工作业，不服从总承包方现场管理，总承包方有权终止合同，并另行选择合作单位。</w:t>
      </w:r>
    </w:p>
    <w:p>
      <w:pPr>
        <w:spacing w:line="400" w:lineRule="exact"/>
        <w:ind w:firstLine="482" w:firstLineChars="200"/>
        <w:rPr>
          <w:rFonts w:hAnsi="宋体" w:cs="宋体"/>
          <w:b/>
          <w:bCs/>
          <w:sz w:val="24"/>
        </w:rPr>
      </w:pPr>
      <w:r>
        <w:rPr>
          <w:rFonts w:hint="eastAsia" w:hAnsi="宋体" w:cs="宋体"/>
          <w:b/>
          <w:bCs/>
          <w:sz w:val="24"/>
        </w:rPr>
        <w:t>六、奖惩措施</w:t>
      </w:r>
    </w:p>
    <w:p>
      <w:pPr>
        <w:spacing w:line="400" w:lineRule="exact"/>
        <w:ind w:firstLine="480" w:firstLineChars="200"/>
        <w:rPr>
          <w:rFonts w:hAnsi="宋体" w:cs="宋体"/>
          <w:bCs/>
          <w:sz w:val="24"/>
        </w:rPr>
      </w:pPr>
      <w:r>
        <w:rPr>
          <w:rFonts w:hint="eastAsia" w:hAnsi="宋体" w:cs="宋体"/>
          <w:bCs/>
          <w:sz w:val="24"/>
        </w:rPr>
        <w:t xml:space="preserve">1. 该工程质量必须符合图纸及有关技术文件规定的技术质量要求，符合国家及行业的有关标准。如果由于分包方原因达不到， 按工程结算价款3%对分包方进行处罚。   </w:t>
      </w:r>
    </w:p>
    <w:p>
      <w:pPr>
        <w:spacing w:line="400" w:lineRule="exact"/>
        <w:ind w:firstLine="480" w:firstLineChars="200"/>
        <w:rPr>
          <w:rFonts w:hAnsi="宋体" w:cs="宋体"/>
          <w:bCs/>
          <w:sz w:val="24"/>
        </w:rPr>
      </w:pPr>
      <w:r>
        <w:rPr>
          <w:rFonts w:hint="eastAsia" w:hAnsi="宋体" w:cs="宋体"/>
          <w:bCs/>
          <w:sz w:val="24"/>
        </w:rPr>
        <w:t>2.本工程必须达到总承包方《质量、环境、职业健康安全管理体系》提出的要求，如由于分包方原因达不到，按工程结算价款5%对分包方进行处罚。</w:t>
      </w:r>
    </w:p>
    <w:p>
      <w:pPr>
        <w:spacing w:line="400" w:lineRule="exact"/>
        <w:ind w:firstLine="482" w:firstLineChars="200"/>
        <w:rPr>
          <w:rFonts w:hAnsi="宋体" w:cs="宋体"/>
          <w:b/>
          <w:bCs/>
          <w:sz w:val="24"/>
        </w:rPr>
      </w:pPr>
      <w:r>
        <w:rPr>
          <w:rFonts w:hint="eastAsia" w:hAnsi="宋体" w:cs="宋体"/>
          <w:b/>
          <w:bCs/>
          <w:sz w:val="24"/>
        </w:rPr>
        <w:t>七、其它：</w:t>
      </w:r>
    </w:p>
    <w:p>
      <w:pPr>
        <w:tabs>
          <w:tab w:val="left" w:pos="1755"/>
        </w:tabs>
        <w:spacing w:line="400" w:lineRule="exact"/>
        <w:ind w:firstLine="480" w:firstLineChars="200"/>
        <w:rPr>
          <w:rFonts w:hAnsi="宋体" w:cs="宋体"/>
          <w:bCs/>
          <w:sz w:val="24"/>
        </w:rPr>
      </w:pPr>
      <w:r>
        <w:rPr>
          <w:rFonts w:hint="eastAsia" w:hAnsi="宋体" w:cs="宋体"/>
          <w:bCs/>
          <w:sz w:val="24"/>
        </w:rPr>
        <w:t>1.分包合同签订后，分包方应向总承包方提交履约保证金，履约保证金金额为100000元（壹拾万元整），在进度款中扣除。待土方工程完工后，经验收合格后随进度款支付（无利息）。</w:t>
      </w:r>
    </w:p>
    <w:p>
      <w:pPr>
        <w:tabs>
          <w:tab w:val="left" w:pos="1755"/>
        </w:tabs>
        <w:spacing w:line="400" w:lineRule="exact"/>
        <w:ind w:firstLine="480" w:firstLineChars="200"/>
        <w:rPr>
          <w:rFonts w:hAnsi="宋体" w:cs="宋体"/>
          <w:bCs/>
          <w:sz w:val="24"/>
        </w:rPr>
      </w:pPr>
      <w:r>
        <w:rPr>
          <w:rFonts w:hint="eastAsia" w:hAnsi="宋体" w:cs="宋体"/>
          <w:bCs/>
          <w:sz w:val="24"/>
        </w:rPr>
        <w:t>2.总承包方有权根据工程的实际需要对分包方的分包范围做出调整，包括增减，分包方不能因此而提出任何经济索赔。</w:t>
      </w:r>
    </w:p>
    <w:p>
      <w:pPr>
        <w:tabs>
          <w:tab w:val="left" w:pos="1755"/>
        </w:tabs>
        <w:spacing w:line="400" w:lineRule="exact"/>
        <w:ind w:firstLine="480" w:firstLineChars="200"/>
        <w:rPr>
          <w:rFonts w:hAnsi="宋体" w:cs="宋体"/>
          <w:bCs/>
          <w:sz w:val="24"/>
        </w:rPr>
      </w:pPr>
      <w:r>
        <w:rPr>
          <w:rFonts w:hint="eastAsia" w:hAnsi="宋体" w:cs="宋体"/>
          <w:bCs/>
          <w:sz w:val="24"/>
        </w:rPr>
        <w:t>3.分包方必须遵守招标方关于禁止饮酒的相关规定。</w:t>
      </w:r>
    </w:p>
    <w:p>
      <w:pPr>
        <w:tabs>
          <w:tab w:val="left" w:pos="1755"/>
        </w:tabs>
        <w:spacing w:line="400" w:lineRule="exact"/>
        <w:ind w:firstLine="480" w:firstLineChars="200"/>
        <w:rPr>
          <w:rFonts w:hAnsi="宋体" w:cs="宋体"/>
          <w:bCs/>
          <w:sz w:val="24"/>
        </w:rPr>
      </w:pPr>
      <w:r>
        <w:rPr>
          <w:rFonts w:hint="eastAsia" w:hAnsi="宋体" w:cs="宋体"/>
          <w:bCs/>
          <w:sz w:val="24"/>
        </w:rPr>
        <w:t>4.分包合同必须由分包单位法定代表人签订，授权委托人无效。</w:t>
      </w:r>
    </w:p>
    <w:p>
      <w:pPr>
        <w:tabs>
          <w:tab w:val="left" w:pos="1755"/>
        </w:tabs>
        <w:spacing w:line="400" w:lineRule="exact"/>
        <w:ind w:firstLine="480" w:firstLineChars="200"/>
        <w:rPr>
          <w:rFonts w:hAnsi="宋体" w:cs="宋体"/>
          <w:bCs/>
          <w:sz w:val="24"/>
        </w:rPr>
      </w:pPr>
      <w:r>
        <w:rPr>
          <w:rFonts w:hint="eastAsia" w:hAnsi="宋体" w:cs="宋体"/>
          <w:bCs/>
          <w:sz w:val="24"/>
        </w:rPr>
        <w:t>5.总承包方按甲乙双方合同付款后，分包方不能支付人工机械及其它债务要求时，由分包方单位法定代表人自愿负全责，分包方承诺不追究总承包方责任。</w:t>
      </w:r>
    </w:p>
    <w:p>
      <w:pPr>
        <w:tabs>
          <w:tab w:val="left" w:pos="1755"/>
        </w:tabs>
        <w:spacing w:line="400" w:lineRule="exact"/>
        <w:ind w:firstLine="480" w:firstLineChars="200"/>
        <w:rPr>
          <w:rFonts w:hAnsi="宋体" w:cs="宋体"/>
          <w:bCs/>
          <w:sz w:val="24"/>
        </w:rPr>
      </w:pPr>
      <w:r>
        <w:rPr>
          <w:rFonts w:hint="eastAsia" w:hAnsi="宋体" w:cs="宋体"/>
          <w:bCs/>
          <w:sz w:val="24"/>
        </w:rPr>
        <w:t>6.若因分包方原因，分包方中途退场后，总承包方按分包方完成工程量的60%进行结算，分包方无条件退场。分包方退场延误造成损失的，分包方负全部责任，损失从履约保证金中扣除。</w:t>
      </w:r>
    </w:p>
    <w:p>
      <w:pPr>
        <w:tabs>
          <w:tab w:val="left" w:pos="1755"/>
        </w:tabs>
        <w:spacing w:line="400" w:lineRule="exact"/>
        <w:ind w:firstLine="480" w:firstLineChars="200"/>
        <w:rPr>
          <w:rFonts w:hAnsi="宋体" w:cs="宋体"/>
          <w:bCs/>
          <w:sz w:val="24"/>
        </w:rPr>
      </w:pPr>
      <w:r>
        <w:rPr>
          <w:rFonts w:hint="eastAsia" w:hAnsi="宋体" w:cs="宋体"/>
          <w:bCs/>
          <w:sz w:val="24"/>
        </w:rPr>
        <w:t>7.分包方不得将工程进行转包的，如分包方私自将分包工程进行转包，经总承包方发现，分包方立即无条件退场，总承包方按分包方所完成工程量的60%费用结算，不再计取任何费用。</w:t>
      </w:r>
    </w:p>
    <w:p>
      <w:pPr>
        <w:tabs>
          <w:tab w:val="left" w:pos="1755"/>
        </w:tabs>
        <w:spacing w:line="400" w:lineRule="exact"/>
        <w:ind w:firstLine="480" w:firstLineChars="200"/>
        <w:rPr>
          <w:rFonts w:hAnsi="宋体" w:cs="宋体"/>
          <w:bCs/>
          <w:sz w:val="24"/>
        </w:rPr>
      </w:pPr>
      <w:r>
        <w:rPr>
          <w:rFonts w:hint="eastAsia" w:hAnsi="宋体" w:cs="宋体"/>
          <w:bCs/>
          <w:sz w:val="24"/>
        </w:rPr>
        <w:t>8.分包方必须与总承包方签订安全协议书、施工合同承诺书、执行招标 劳务实名制相关规定。</w:t>
      </w:r>
    </w:p>
    <w:p>
      <w:pPr>
        <w:tabs>
          <w:tab w:val="left" w:pos="1755"/>
        </w:tabs>
        <w:spacing w:line="400" w:lineRule="exact"/>
        <w:rPr>
          <w:rFonts w:hAnsi="宋体" w:cs="宋体"/>
          <w:bCs/>
          <w:sz w:val="24"/>
        </w:rPr>
      </w:pPr>
      <w:r>
        <w:rPr>
          <w:rFonts w:hint="eastAsia" w:hAnsi="宋体" w:cs="宋体"/>
          <w:bCs/>
          <w:sz w:val="24"/>
        </w:rPr>
        <w:t xml:space="preserve">    9.分包方应加强对已完工程的保护工作，同时必须注意对其他方已完工产品的保护，</w:t>
      </w:r>
      <w:r>
        <w:rPr>
          <w:rFonts w:hint="eastAsia" w:hAnsi="宋体" w:cs="宋体"/>
          <w:sz w:val="24"/>
        </w:rPr>
        <w:t>若造成其他方物品的损坏，投标方应予赔偿，具体额度由双方友好协商，协商不成时由总承包方和被损坏方商议确定</w:t>
      </w:r>
      <w:r>
        <w:rPr>
          <w:rFonts w:hint="eastAsia" w:hAnsi="宋体" w:cs="宋体"/>
          <w:bCs/>
          <w:sz w:val="24"/>
        </w:rPr>
        <w:t>。</w:t>
      </w:r>
    </w:p>
    <w:p>
      <w:pPr>
        <w:tabs>
          <w:tab w:val="left" w:pos="1755"/>
        </w:tabs>
        <w:spacing w:line="400" w:lineRule="exact"/>
        <w:ind w:firstLine="480" w:firstLineChars="200"/>
        <w:rPr>
          <w:rFonts w:hAnsi="宋体" w:cs="宋体"/>
          <w:bCs/>
          <w:sz w:val="24"/>
        </w:rPr>
      </w:pPr>
      <w:r>
        <w:rPr>
          <w:rFonts w:hint="eastAsia" w:hAnsi="宋体" w:cs="宋体"/>
          <w:bCs/>
          <w:sz w:val="24"/>
        </w:rPr>
        <w:t>10.分包方应与其他分包方、总承包单位、监理单位、建设单位建立良好的合作关系，如因分包方原因造成一切纠纷，由分包方自行承担相关责任。</w:t>
      </w:r>
    </w:p>
    <w:p>
      <w:pPr>
        <w:pStyle w:val="2"/>
        <w:spacing w:line="400" w:lineRule="exact"/>
        <w:ind w:left="0" w:firstLine="528"/>
        <w:rPr>
          <w:rFonts w:hAnsi="宋体" w:cs="宋体"/>
          <w:bCs/>
          <w:szCs w:val="22"/>
        </w:rPr>
      </w:pPr>
      <w:r>
        <w:rPr>
          <w:rFonts w:hint="eastAsia" w:hAnsi="宋体" w:cs="宋体"/>
          <w:bCs/>
          <w:szCs w:val="22"/>
        </w:rPr>
        <w:t>11.分包方必须无条件配合主体施工队伍以及其他交叉作业或后续作业队伍，土方开挖、回填必须满足后续施工作业队伍施工需求。</w:t>
      </w:r>
    </w:p>
    <w:p>
      <w:pPr>
        <w:tabs>
          <w:tab w:val="left" w:pos="1755"/>
        </w:tabs>
        <w:spacing w:line="400" w:lineRule="exact"/>
        <w:ind w:firstLine="480" w:firstLineChars="200"/>
        <w:rPr>
          <w:rFonts w:hAnsi="宋体" w:cs="宋体"/>
          <w:bCs/>
          <w:sz w:val="24"/>
        </w:rPr>
      </w:pPr>
      <w:r>
        <w:rPr>
          <w:rFonts w:hint="eastAsia" w:hAnsi="宋体" w:cs="宋体"/>
          <w:bCs/>
          <w:sz w:val="24"/>
        </w:rPr>
        <w:t>12.以上若有未尽事宜，应经双方协商一致，签定补充协议。</w:t>
      </w:r>
    </w:p>
    <w:p>
      <w:pPr>
        <w:pStyle w:val="2"/>
        <w:ind w:firstLine="528"/>
      </w:pPr>
      <w:r>
        <w:br w:type="page"/>
      </w:r>
    </w:p>
    <w:p>
      <w:pPr>
        <w:jc w:val="center"/>
        <w:outlineLvl w:val="0"/>
        <w:rPr>
          <w:rFonts w:hAnsi="宋体" w:cs="宋体"/>
          <w:b/>
          <w:sz w:val="36"/>
        </w:rPr>
      </w:pPr>
      <w:r>
        <w:rPr>
          <w:rFonts w:hint="eastAsia" w:hAnsi="宋体" w:cs="宋体"/>
          <w:b/>
          <w:sz w:val="36"/>
        </w:rPr>
        <w:t>五、投标文件格式</w:t>
      </w:r>
    </w:p>
    <w:p>
      <w:pPr>
        <w:ind w:left="1500" w:firstLine="626" w:firstLineChars="174"/>
        <w:rPr>
          <w:rFonts w:hAnsi="宋体" w:cs="宋体"/>
          <w:sz w:val="36"/>
          <w:u w:val="single"/>
        </w:rPr>
      </w:pPr>
    </w:p>
    <w:p>
      <w:pPr>
        <w:jc w:val="center"/>
        <w:rPr>
          <w:rFonts w:hAnsi="宋体" w:cs="宋体"/>
          <w:b/>
          <w:sz w:val="72"/>
        </w:rPr>
      </w:pPr>
    </w:p>
    <w:p>
      <w:pPr>
        <w:jc w:val="center"/>
        <w:rPr>
          <w:rFonts w:hAnsi="宋体" w:cs="宋体"/>
          <w:b/>
          <w:spacing w:val="120"/>
          <w:sz w:val="84"/>
          <w:szCs w:val="84"/>
        </w:rPr>
      </w:pPr>
      <w:r>
        <w:rPr>
          <w:rFonts w:hint="eastAsia" w:hAnsi="宋体" w:cs="宋体"/>
          <w:b/>
          <w:spacing w:val="120"/>
          <w:sz w:val="84"/>
          <w:szCs w:val="84"/>
        </w:rPr>
        <w:t>投标文件</w:t>
      </w:r>
    </w:p>
    <w:p>
      <w:pPr>
        <w:jc w:val="center"/>
        <w:rPr>
          <w:rFonts w:hAnsi="宋体" w:cs="宋体"/>
          <w:b/>
          <w:spacing w:val="120"/>
          <w:sz w:val="44"/>
          <w:szCs w:val="44"/>
        </w:rPr>
      </w:pPr>
    </w:p>
    <w:p>
      <w:pPr>
        <w:jc w:val="center"/>
        <w:rPr>
          <w:rFonts w:hAnsi="宋体" w:cs="宋体"/>
          <w:b/>
          <w:sz w:val="44"/>
          <w:szCs w:val="44"/>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snapToGrid w:val="0"/>
        <w:spacing w:line="480" w:lineRule="auto"/>
        <w:ind w:firstLine="602" w:firstLineChars="200"/>
        <w:rPr>
          <w:rFonts w:hAnsi="宋体" w:cs="宋体"/>
          <w:b/>
          <w:sz w:val="30"/>
          <w:u w:val="single"/>
        </w:rPr>
      </w:pPr>
      <w:r>
        <w:rPr>
          <w:rFonts w:hint="eastAsia" w:hAnsi="宋体" w:cs="宋体"/>
          <w:b/>
          <w:sz w:val="30"/>
        </w:rPr>
        <w:t>投   标   人：</w:t>
      </w:r>
      <w:r>
        <w:rPr>
          <w:rFonts w:hint="eastAsia" w:hAnsi="宋体" w:cs="宋体"/>
          <w:b/>
          <w:sz w:val="30"/>
          <w:u w:val="single"/>
        </w:rPr>
        <w:tab/>
      </w:r>
      <w:r>
        <w:rPr>
          <w:rFonts w:hint="eastAsia" w:hAnsi="宋体" w:cs="宋体"/>
          <w:b/>
          <w:sz w:val="30"/>
          <w:u w:val="single"/>
        </w:rPr>
        <w:tab/>
      </w:r>
      <w:r>
        <w:rPr>
          <w:rFonts w:hint="eastAsia" w:hAnsi="宋体" w:cs="宋体"/>
          <w:b/>
          <w:sz w:val="30"/>
          <w:u w:val="single"/>
        </w:rPr>
        <w:t xml:space="preserve">        （盖章） </w:t>
      </w:r>
    </w:p>
    <w:p>
      <w:pPr>
        <w:snapToGrid w:val="0"/>
        <w:spacing w:line="480" w:lineRule="auto"/>
        <w:ind w:firstLine="567" w:firstLineChars="157"/>
        <w:rPr>
          <w:rFonts w:hAnsi="宋体" w:cs="宋体"/>
          <w:b/>
          <w:sz w:val="30"/>
        </w:rPr>
      </w:pPr>
      <w:r>
        <w:rPr>
          <w:rFonts w:hint="eastAsia" w:hAnsi="宋体" w:cs="宋体"/>
          <w:b/>
          <w:spacing w:val="30"/>
          <w:sz w:val="30"/>
        </w:rPr>
        <w:t>法定代表人或授权委托人：</w:t>
      </w:r>
      <w:r>
        <w:rPr>
          <w:rFonts w:hint="eastAsia" w:hAnsi="宋体" w:cs="宋体"/>
          <w:b/>
          <w:sz w:val="30"/>
          <w:u w:val="single"/>
        </w:rPr>
        <w:t xml:space="preserve">            （签字或盖章）</w:t>
      </w:r>
    </w:p>
    <w:p>
      <w:pPr>
        <w:snapToGrid w:val="0"/>
        <w:spacing w:line="480" w:lineRule="auto"/>
        <w:ind w:firstLine="602" w:firstLineChars="200"/>
        <w:rPr>
          <w:rFonts w:hAnsi="宋体" w:cs="宋体"/>
          <w:b/>
          <w:sz w:val="30"/>
        </w:rPr>
      </w:pPr>
      <w:r>
        <w:rPr>
          <w:rFonts w:hint="eastAsia" w:hAnsi="宋体" w:cs="宋体"/>
          <w:b/>
          <w:sz w:val="30"/>
        </w:rPr>
        <w:t>日        期：年  月  日</w:t>
      </w:r>
    </w:p>
    <w:p>
      <w:pPr>
        <w:jc w:val="center"/>
        <w:outlineLvl w:val="1"/>
        <w:rPr>
          <w:rFonts w:hAnsi="宋体" w:cs="宋体"/>
          <w:b/>
        </w:rPr>
      </w:pPr>
      <w:r>
        <w:rPr>
          <w:rFonts w:hint="eastAsia" w:hAnsi="宋体" w:cs="宋体"/>
          <w:b/>
          <w:sz w:val="32"/>
        </w:rPr>
        <w:br w:type="page"/>
      </w:r>
      <w:r>
        <w:rPr>
          <w:rFonts w:hint="eastAsia" w:hAnsi="宋体" w:cs="宋体"/>
          <w:b/>
          <w:sz w:val="32"/>
        </w:rPr>
        <w:t>目    录</w:t>
      </w:r>
    </w:p>
    <w:p>
      <w:pPr>
        <w:jc w:val="center"/>
        <w:rPr>
          <w:rFonts w:hAnsi="宋体" w:cs="宋体"/>
          <w:b/>
        </w:rPr>
      </w:pPr>
    </w:p>
    <w:p>
      <w:pPr>
        <w:jc w:val="center"/>
        <w:rPr>
          <w:rFonts w:hAnsi="宋体" w:cs="宋体"/>
          <w:b/>
        </w:rPr>
      </w:pPr>
    </w:p>
    <w:p>
      <w:pPr>
        <w:jc w:val="center"/>
        <w:rPr>
          <w:rFonts w:hAnsi="宋体" w:cs="宋体"/>
          <w:b/>
        </w:rPr>
      </w:pPr>
    </w:p>
    <w:p>
      <w:pPr>
        <w:jc w:val="center"/>
        <w:rPr>
          <w:rFonts w:hAnsi="宋体" w:cs="宋体"/>
          <w:b/>
        </w:rPr>
      </w:pPr>
    </w:p>
    <w:p>
      <w:pPr>
        <w:spacing w:line="480" w:lineRule="auto"/>
        <w:ind w:firstLine="1432" w:firstLineChars="597"/>
        <w:rPr>
          <w:rFonts w:hAnsi="宋体" w:cs="宋体"/>
          <w:sz w:val="24"/>
        </w:rPr>
      </w:pPr>
      <w:r>
        <w:rPr>
          <w:rFonts w:hint="eastAsia" w:hAnsi="宋体" w:cs="宋体"/>
          <w:sz w:val="24"/>
        </w:rPr>
        <w:t>一、投标函</w:t>
      </w:r>
    </w:p>
    <w:p>
      <w:pPr>
        <w:spacing w:line="480" w:lineRule="auto"/>
        <w:ind w:firstLine="1432" w:firstLineChars="597"/>
        <w:rPr>
          <w:rFonts w:hAnsi="宋体" w:cs="宋体"/>
          <w:sz w:val="24"/>
        </w:rPr>
      </w:pPr>
      <w:r>
        <w:rPr>
          <w:rFonts w:hint="eastAsia" w:hAnsi="宋体" w:cs="宋体"/>
          <w:sz w:val="24"/>
        </w:rPr>
        <w:t xml:space="preserve">二、法定代表人身份证明书 </w:t>
      </w:r>
    </w:p>
    <w:p>
      <w:pPr>
        <w:spacing w:line="480" w:lineRule="auto"/>
        <w:ind w:firstLine="1440" w:firstLineChars="600"/>
        <w:rPr>
          <w:rFonts w:hAnsi="宋体" w:cs="宋体"/>
          <w:sz w:val="24"/>
        </w:rPr>
      </w:pPr>
      <w:r>
        <w:rPr>
          <w:rFonts w:hint="eastAsia" w:hAnsi="宋体" w:cs="宋体"/>
          <w:sz w:val="24"/>
        </w:rPr>
        <w:t>三、法定代表人授权委托书</w:t>
      </w:r>
    </w:p>
    <w:p>
      <w:pPr>
        <w:spacing w:line="480" w:lineRule="auto"/>
        <w:ind w:firstLine="1440" w:firstLineChars="600"/>
        <w:rPr>
          <w:rFonts w:hAnsi="宋体" w:cs="宋体"/>
          <w:sz w:val="24"/>
          <w:szCs w:val="24"/>
        </w:rPr>
      </w:pPr>
      <w:r>
        <w:rPr>
          <w:rFonts w:hint="eastAsia" w:hAnsi="宋体" w:cs="宋体"/>
          <w:sz w:val="24"/>
        </w:rPr>
        <w:t>四、</w:t>
      </w:r>
      <w:r>
        <w:rPr>
          <w:rFonts w:hint="eastAsia" w:hAnsi="宋体" w:cs="宋体"/>
          <w:sz w:val="24"/>
          <w:szCs w:val="22"/>
        </w:rPr>
        <w:t>投标保证金缴纳证明复印件</w:t>
      </w:r>
    </w:p>
    <w:p>
      <w:pPr>
        <w:spacing w:line="480" w:lineRule="auto"/>
        <w:ind w:firstLine="1440" w:firstLineChars="600"/>
        <w:rPr>
          <w:rFonts w:hAnsi="宋体" w:cs="宋体"/>
          <w:sz w:val="24"/>
          <w:szCs w:val="22"/>
        </w:rPr>
      </w:pPr>
      <w:r>
        <w:rPr>
          <w:rFonts w:hint="eastAsia" w:hAnsi="宋体" w:cs="宋体"/>
          <w:sz w:val="24"/>
          <w:szCs w:val="22"/>
        </w:rPr>
        <w:t>五、投标人营业执照、雄安新区道路运输经营许可证、雄安新区建筑垃圾</w:t>
      </w:r>
    </w:p>
    <w:p>
      <w:pPr>
        <w:spacing w:line="480" w:lineRule="auto"/>
        <w:ind w:firstLine="1920" w:firstLineChars="800"/>
        <w:rPr>
          <w:rFonts w:hAnsi="宋体" w:cs="宋体"/>
          <w:sz w:val="24"/>
          <w:szCs w:val="22"/>
        </w:rPr>
      </w:pPr>
      <w:r>
        <w:rPr>
          <w:rFonts w:hint="eastAsia" w:hAnsi="宋体" w:cs="宋体"/>
          <w:sz w:val="24"/>
          <w:szCs w:val="22"/>
        </w:rPr>
        <w:t>运输企业资质证书、增值税</w:t>
      </w:r>
      <w:r>
        <w:rPr>
          <w:rFonts w:hint="eastAsia" w:hAnsi="宋体" w:cs="宋体"/>
          <w:sz w:val="24"/>
          <w:szCs w:val="24"/>
        </w:rPr>
        <w:t>一般纳税人证明、业绩</w:t>
      </w:r>
      <w:r>
        <w:rPr>
          <w:rFonts w:hint="eastAsia" w:hAnsi="宋体" w:cs="宋体"/>
          <w:sz w:val="24"/>
          <w:szCs w:val="22"/>
        </w:rPr>
        <w:t>等相关证件复印件</w:t>
      </w:r>
    </w:p>
    <w:p>
      <w:pPr>
        <w:spacing w:line="480" w:lineRule="auto"/>
        <w:ind w:left="1912" w:leftChars="420" w:hanging="484" w:hangingChars="202"/>
        <w:rPr>
          <w:rFonts w:hAnsi="宋体" w:cs="宋体"/>
          <w:sz w:val="24"/>
          <w:szCs w:val="22"/>
        </w:rPr>
      </w:pPr>
      <w:r>
        <w:rPr>
          <w:rFonts w:hint="eastAsia" w:hAnsi="宋体" w:cs="宋体"/>
          <w:sz w:val="24"/>
          <w:szCs w:val="22"/>
        </w:rPr>
        <w:t>六、投标报价及报价表</w:t>
      </w:r>
    </w:p>
    <w:p>
      <w:pPr>
        <w:spacing w:line="480" w:lineRule="auto"/>
        <w:ind w:left="1912" w:leftChars="420" w:hanging="484" w:hangingChars="202"/>
        <w:rPr>
          <w:rFonts w:hAnsi="宋体" w:cs="宋体"/>
          <w:sz w:val="24"/>
          <w:szCs w:val="22"/>
        </w:rPr>
      </w:pPr>
      <w:r>
        <w:rPr>
          <w:rFonts w:hint="eastAsia" w:hAnsi="宋体" w:cs="宋体"/>
          <w:sz w:val="24"/>
          <w:szCs w:val="22"/>
        </w:rPr>
        <w:t>七、承诺书</w:t>
      </w:r>
    </w:p>
    <w:p>
      <w:pPr>
        <w:spacing w:line="480" w:lineRule="auto"/>
        <w:ind w:firstLine="1440" w:firstLineChars="600"/>
        <w:rPr>
          <w:rFonts w:hAnsi="宋体" w:cs="宋体"/>
          <w:sz w:val="24"/>
          <w:szCs w:val="22"/>
        </w:rPr>
      </w:pPr>
    </w:p>
    <w:p>
      <w:pPr>
        <w:spacing w:line="400" w:lineRule="exact"/>
        <w:ind w:firstLine="480" w:firstLineChars="200"/>
        <w:rPr>
          <w:rFonts w:hAnsi="宋体" w:cs="宋体"/>
          <w:sz w:val="24"/>
          <w:szCs w:val="24"/>
        </w:rPr>
      </w:pPr>
    </w:p>
    <w:p>
      <w:pPr>
        <w:spacing w:line="480" w:lineRule="auto"/>
        <w:ind w:firstLine="1440" w:firstLineChars="600"/>
        <w:rPr>
          <w:rFonts w:hAnsi="宋体" w:cs="宋体"/>
          <w:sz w:val="24"/>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pStyle w:val="6"/>
        <w:ind w:firstLine="0" w:firstLineChars="0"/>
        <w:rPr>
          <w:rFonts w:hAnsi="宋体" w:cs="宋体"/>
        </w:rPr>
      </w:pPr>
    </w:p>
    <w:p>
      <w:pPr>
        <w:spacing w:line="400" w:lineRule="exact"/>
        <w:jc w:val="center"/>
        <w:outlineLvl w:val="1"/>
        <w:rPr>
          <w:rFonts w:hAnsi="宋体" w:cs="宋体"/>
          <w:b/>
          <w:sz w:val="32"/>
        </w:rPr>
      </w:pPr>
      <w:r>
        <w:rPr>
          <w:rFonts w:hint="eastAsia" w:hAnsi="宋体" w:cs="宋体"/>
          <w:b/>
          <w:sz w:val="32"/>
        </w:rPr>
        <w:t>（一）投 标 函</w:t>
      </w:r>
    </w:p>
    <w:p>
      <w:pPr>
        <w:spacing w:line="400" w:lineRule="exact"/>
        <w:rPr>
          <w:rFonts w:hAnsi="宋体" w:cs="宋体"/>
        </w:rPr>
      </w:pPr>
    </w:p>
    <w:p>
      <w:pPr>
        <w:spacing w:line="400" w:lineRule="exact"/>
        <w:rPr>
          <w:rFonts w:hAnsi="宋体" w:cs="宋体"/>
          <w:sz w:val="24"/>
          <w:u w:val="single"/>
        </w:rPr>
      </w:pPr>
      <w:r>
        <w:rPr>
          <w:rFonts w:hint="eastAsia" w:hAnsi="宋体" w:cs="宋体"/>
          <w:sz w:val="24"/>
        </w:rPr>
        <w:t>致：</w:t>
      </w:r>
      <w:r>
        <w:rPr>
          <w:rFonts w:hint="eastAsia" w:hAnsi="宋体" w:cs="宋体"/>
          <w:sz w:val="24"/>
          <w:u w:val="single"/>
        </w:rPr>
        <w:t xml:space="preserve">     （招标人）        </w:t>
      </w:r>
    </w:p>
    <w:p>
      <w:pPr>
        <w:spacing w:line="400" w:lineRule="exact"/>
        <w:rPr>
          <w:rFonts w:hAnsi="宋体" w:cs="宋体"/>
          <w:sz w:val="24"/>
          <w:u w:val="single"/>
        </w:rPr>
      </w:pPr>
    </w:p>
    <w:p>
      <w:pPr>
        <w:tabs>
          <w:tab w:val="left" w:pos="7560"/>
        </w:tabs>
        <w:spacing w:line="400" w:lineRule="exact"/>
        <w:ind w:left="194" w:leftChars="57" w:firstLine="369" w:firstLineChars="154"/>
        <w:jc w:val="left"/>
        <w:rPr>
          <w:rFonts w:hAnsi="宋体" w:cs="宋体"/>
          <w:sz w:val="24"/>
        </w:rPr>
      </w:pPr>
      <w:r>
        <w:rPr>
          <w:rFonts w:hint="eastAsia" w:hAnsi="宋体" w:cs="宋体"/>
          <w:sz w:val="24"/>
        </w:rPr>
        <w:t>1、根据你方</w:t>
      </w:r>
      <w:r>
        <w:rPr>
          <w:rFonts w:hint="eastAsia" w:hAnsi="宋体" w:cs="宋体"/>
          <w:b/>
          <w:sz w:val="24"/>
          <w:szCs w:val="24"/>
          <w:u w:val="single"/>
        </w:rPr>
        <w:t xml:space="preserve">                 （工程名称） </w:t>
      </w:r>
      <w:r>
        <w:rPr>
          <w:rFonts w:hint="eastAsia" w:hAnsi="宋体" w:cs="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hAnsi="宋体" w:cs="宋体"/>
          <w:b/>
          <w:sz w:val="24"/>
        </w:rPr>
        <w:t>投标价</w:t>
      </w:r>
      <w:r>
        <w:rPr>
          <w:rFonts w:hint="eastAsia" w:hAnsi="宋体" w:cs="宋体"/>
          <w:sz w:val="24"/>
        </w:rPr>
        <w:t>为人民币(大写)（￥）。并按图纸、合同条款、工程建设标准和工程量清单的条件要求承包上述工程的施工、竣工，并承担任何质量缺陷保修责任。</w:t>
      </w:r>
    </w:p>
    <w:p>
      <w:pPr>
        <w:spacing w:line="400" w:lineRule="exact"/>
        <w:ind w:firstLine="490"/>
        <w:jc w:val="left"/>
        <w:rPr>
          <w:rFonts w:hAnsi="宋体" w:cs="宋体"/>
          <w:sz w:val="24"/>
        </w:rPr>
      </w:pPr>
      <w:r>
        <w:rPr>
          <w:rFonts w:hint="eastAsia" w:hAnsi="宋体" w:cs="宋体"/>
          <w:sz w:val="24"/>
        </w:rPr>
        <w:t>2、我方已详细审核全部招标文件，包括修改文件（如有时）及有关附件。</w:t>
      </w:r>
    </w:p>
    <w:p>
      <w:pPr>
        <w:spacing w:line="400" w:lineRule="exact"/>
        <w:ind w:firstLine="490"/>
        <w:jc w:val="left"/>
        <w:rPr>
          <w:rFonts w:hAnsi="宋体" w:cs="宋体"/>
          <w:sz w:val="24"/>
        </w:rPr>
      </w:pPr>
      <w:r>
        <w:rPr>
          <w:rFonts w:hint="eastAsia" w:hAnsi="宋体" w:cs="宋体"/>
          <w:sz w:val="24"/>
        </w:rPr>
        <w:t>3、一旦我方中标，我方保证按合同协议书中规定的工期日历天内完成并移交全部工程，工程质量达到标准。</w:t>
      </w:r>
    </w:p>
    <w:p>
      <w:pPr>
        <w:spacing w:line="400" w:lineRule="exact"/>
        <w:ind w:firstLine="490"/>
        <w:rPr>
          <w:rFonts w:hAnsi="宋体" w:cs="宋体"/>
          <w:sz w:val="24"/>
        </w:rPr>
      </w:pPr>
      <w:r>
        <w:rPr>
          <w:rFonts w:hint="eastAsia" w:hAnsi="宋体" w:cs="宋体"/>
          <w:sz w:val="24"/>
        </w:rPr>
        <w:t>4、我方同意所提交的投标文件在招标文件的投标须知中第12条规定的投标有效期内有效，在此期间内如果中标，我方将受此约束。</w:t>
      </w:r>
    </w:p>
    <w:p>
      <w:pPr>
        <w:spacing w:line="400" w:lineRule="exact"/>
        <w:ind w:firstLine="490"/>
        <w:rPr>
          <w:rFonts w:hAnsi="宋体" w:cs="宋体"/>
          <w:sz w:val="24"/>
        </w:rPr>
      </w:pPr>
      <w:r>
        <w:rPr>
          <w:rFonts w:hint="eastAsia" w:hAnsi="宋体" w:cs="宋体"/>
          <w:sz w:val="24"/>
        </w:rPr>
        <w:t>5、除非另外达成协议并生效，你方的中标通知书和本投标文件将成为约束双方的合同文件的组成部分。</w:t>
      </w:r>
    </w:p>
    <w:p>
      <w:pPr>
        <w:spacing w:line="400" w:lineRule="exact"/>
        <w:ind w:firstLine="490"/>
        <w:rPr>
          <w:rFonts w:hAnsi="宋体" w:cs="宋体"/>
          <w:sz w:val="24"/>
        </w:rPr>
      </w:pPr>
      <w:r>
        <w:rPr>
          <w:rFonts w:hint="eastAsia" w:hAnsi="宋体" w:cs="宋体"/>
          <w:sz w:val="24"/>
        </w:rPr>
        <w:t>6、我方将与本投标函一起，提交人民币元的投标保证金。</w:t>
      </w:r>
    </w:p>
    <w:p>
      <w:pPr>
        <w:spacing w:line="400" w:lineRule="exact"/>
        <w:ind w:firstLine="490"/>
        <w:rPr>
          <w:rFonts w:hAnsi="宋体" w:cs="宋体"/>
        </w:rPr>
      </w:pPr>
      <w:r>
        <w:rPr>
          <w:rFonts w:hint="eastAsia" w:hAnsi="宋体" w:cs="宋体"/>
          <w:sz w:val="24"/>
        </w:rPr>
        <w:t>7、我方完全理解你方（招标人）不以最低价为中标唯一条件。</w:t>
      </w:r>
    </w:p>
    <w:p>
      <w:pPr>
        <w:spacing w:line="400" w:lineRule="exact"/>
        <w:rPr>
          <w:rFonts w:hAnsi="宋体" w:cs="宋体"/>
        </w:rPr>
      </w:pPr>
    </w:p>
    <w:p>
      <w:pPr>
        <w:spacing w:line="400" w:lineRule="exact"/>
        <w:ind w:firstLine="720" w:firstLineChars="300"/>
        <w:rPr>
          <w:rFonts w:hAnsi="宋体" w:cs="宋体"/>
          <w:sz w:val="24"/>
          <w:u w:val="single"/>
        </w:rPr>
      </w:pPr>
      <w:r>
        <w:rPr>
          <w:rFonts w:hint="eastAsia" w:hAnsi="宋体" w:cs="宋体"/>
          <w:sz w:val="24"/>
        </w:rPr>
        <w:t>投 标 人：</w:t>
      </w:r>
      <w:r>
        <w:rPr>
          <w:rFonts w:hint="eastAsia" w:hAnsi="宋体" w:cs="宋体"/>
          <w:sz w:val="24"/>
          <w:u w:val="single"/>
        </w:rPr>
        <w:t xml:space="preserve">                                     （盖章）   </w:t>
      </w:r>
    </w:p>
    <w:p>
      <w:pPr>
        <w:spacing w:line="400" w:lineRule="exact"/>
        <w:ind w:left="792" w:leftChars="233" w:firstLine="240" w:firstLineChars="100"/>
        <w:rPr>
          <w:rFonts w:hAnsi="宋体" w:cs="宋体"/>
          <w:sz w:val="24"/>
          <w:u w:val="single"/>
        </w:rPr>
      </w:pPr>
    </w:p>
    <w:p>
      <w:pPr>
        <w:spacing w:line="400" w:lineRule="exact"/>
        <w:ind w:firstLine="720" w:firstLineChars="300"/>
        <w:rPr>
          <w:rFonts w:hAnsi="宋体" w:cs="宋体"/>
          <w:sz w:val="24"/>
          <w:u w:val="single"/>
        </w:rPr>
      </w:pPr>
      <w:r>
        <w:rPr>
          <w:rFonts w:hint="eastAsia" w:hAnsi="宋体" w:cs="宋体"/>
          <w:sz w:val="24"/>
        </w:rPr>
        <w:t>单位地址：</w:t>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p>
    <w:p>
      <w:pPr>
        <w:spacing w:line="400" w:lineRule="exact"/>
        <w:ind w:firstLine="720" w:firstLineChars="300"/>
        <w:rPr>
          <w:rFonts w:hAnsi="宋体" w:cs="宋体"/>
          <w:sz w:val="24"/>
          <w:u w:val="single"/>
        </w:rPr>
      </w:pPr>
    </w:p>
    <w:p>
      <w:pPr>
        <w:spacing w:line="400" w:lineRule="exact"/>
        <w:ind w:firstLine="720" w:firstLineChars="300"/>
        <w:rPr>
          <w:rFonts w:hAnsi="宋体" w:cs="宋体"/>
          <w:sz w:val="24"/>
          <w:u w:val="single"/>
        </w:rPr>
      </w:pPr>
      <w:r>
        <w:rPr>
          <w:rFonts w:hint="eastAsia" w:hAnsi="宋体" w:cs="宋体"/>
          <w:sz w:val="24"/>
        </w:rPr>
        <w:t>法定代表人或授权委托代理人：</w:t>
      </w:r>
      <w:r>
        <w:rPr>
          <w:rFonts w:hint="eastAsia" w:hAnsi="宋体" w:cs="宋体"/>
          <w:sz w:val="24"/>
          <w:u w:val="single"/>
        </w:rPr>
        <w:t xml:space="preserve">               （签字或盖章） </w:t>
      </w:r>
    </w:p>
    <w:p>
      <w:pPr>
        <w:spacing w:line="400" w:lineRule="exact"/>
        <w:ind w:firstLine="720" w:firstLineChars="300"/>
        <w:rPr>
          <w:rFonts w:hAnsi="宋体" w:cs="宋体"/>
          <w:sz w:val="24"/>
          <w:u w:val="single"/>
        </w:rPr>
      </w:pPr>
    </w:p>
    <w:p>
      <w:pPr>
        <w:spacing w:line="400" w:lineRule="exact"/>
        <w:ind w:firstLine="720" w:firstLineChars="300"/>
        <w:rPr>
          <w:rFonts w:hAnsi="宋体" w:cs="宋体"/>
          <w:sz w:val="24"/>
        </w:rPr>
      </w:pPr>
      <w:r>
        <w:rPr>
          <w:rFonts w:hint="eastAsia" w:hAnsi="宋体" w:cs="宋体"/>
          <w:sz w:val="24"/>
        </w:rPr>
        <w:t>邮政编码：电话：</w:t>
      </w:r>
      <w:r>
        <w:rPr>
          <w:rFonts w:hint="eastAsia" w:hAnsi="宋体" w:cs="宋体"/>
          <w:sz w:val="24"/>
          <w:u w:val="single"/>
        </w:rPr>
        <w:tab/>
      </w:r>
      <w:r>
        <w:rPr>
          <w:rFonts w:hint="eastAsia" w:hAnsi="宋体" w:cs="宋体"/>
          <w:sz w:val="24"/>
          <w:u w:val="single"/>
        </w:rPr>
        <w:tab/>
      </w:r>
      <w:r>
        <w:rPr>
          <w:rFonts w:hint="eastAsia" w:hAnsi="宋体" w:cs="宋体"/>
          <w:sz w:val="24"/>
        </w:rPr>
        <w:t xml:space="preserve"> 传真：</w:t>
      </w:r>
      <w:r>
        <w:rPr>
          <w:rFonts w:hint="eastAsia" w:hAnsi="宋体" w:cs="宋体"/>
          <w:sz w:val="24"/>
          <w:u w:val="single"/>
        </w:rPr>
        <w:tab/>
      </w:r>
      <w:r>
        <w:rPr>
          <w:rFonts w:hint="eastAsia" w:hAnsi="宋体" w:cs="宋体"/>
          <w:sz w:val="24"/>
          <w:u w:val="single"/>
        </w:rPr>
        <w:tab/>
      </w:r>
    </w:p>
    <w:p>
      <w:pPr>
        <w:spacing w:line="400" w:lineRule="exact"/>
        <w:ind w:left="233"/>
        <w:rPr>
          <w:rFonts w:hAnsi="宋体" w:cs="宋体"/>
          <w:sz w:val="32"/>
        </w:rPr>
      </w:pPr>
    </w:p>
    <w:p>
      <w:pPr>
        <w:spacing w:line="400" w:lineRule="exact"/>
        <w:ind w:left="8568" w:leftChars="2520" w:firstLine="168" w:firstLineChars="70"/>
        <w:rPr>
          <w:rFonts w:hAnsi="宋体" w:cs="宋体"/>
          <w:sz w:val="24"/>
          <w:u w:val="single"/>
        </w:rPr>
      </w:pPr>
    </w:p>
    <w:p>
      <w:pPr>
        <w:spacing w:line="400" w:lineRule="exact"/>
        <w:ind w:firstLine="4800" w:firstLineChars="2000"/>
        <w:rPr>
          <w:rFonts w:hAnsi="宋体" w:cs="宋体"/>
        </w:rPr>
      </w:pPr>
      <w:r>
        <w:rPr>
          <w:rFonts w:hint="eastAsia" w:hAnsi="宋体" w:cs="宋体"/>
          <w:sz w:val="24"/>
        </w:rPr>
        <w:t>年月日</w:t>
      </w:r>
    </w:p>
    <w:p>
      <w:pPr>
        <w:spacing w:line="360" w:lineRule="exact"/>
        <w:jc w:val="center"/>
        <w:outlineLvl w:val="1"/>
        <w:rPr>
          <w:rFonts w:hAnsi="宋体" w:cs="宋体"/>
          <w:b/>
          <w:sz w:val="32"/>
        </w:rPr>
      </w:pPr>
      <w:r>
        <w:rPr>
          <w:rFonts w:hint="eastAsia" w:hAnsi="宋体" w:cs="宋体"/>
        </w:rPr>
        <w:br w:type="page"/>
      </w:r>
      <w:r>
        <w:rPr>
          <w:rFonts w:hint="eastAsia" w:hAnsi="宋体" w:cs="宋体"/>
          <w:b/>
          <w:sz w:val="32"/>
        </w:rPr>
        <w:t>（二）法定代表人身份证明书</w:t>
      </w:r>
    </w:p>
    <w:p>
      <w:pPr>
        <w:spacing w:line="360" w:lineRule="exact"/>
        <w:rPr>
          <w:rFonts w:hAnsi="宋体" w:cs="宋体"/>
        </w:rPr>
      </w:pPr>
    </w:p>
    <w:p>
      <w:pPr>
        <w:spacing w:line="360" w:lineRule="exact"/>
        <w:ind w:firstLine="612"/>
        <w:rPr>
          <w:rFonts w:hAnsi="宋体" w:cs="宋体"/>
        </w:rPr>
      </w:pPr>
    </w:p>
    <w:p>
      <w:pPr>
        <w:spacing w:line="480" w:lineRule="auto"/>
        <w:ind w:firstLine="612"/>
        <w:rPr>
          <w:rFonts w:hAnsi="宋体" w:cs="宋体"/>
          <w:sz w:val="24"/>
          <w:u w:val="single"/>
        </w:rPr>
      </w:pPr>
      <w:r>
        <w:rPr>
          <w:rFonts w:hint="eastAsia" w:hAnsi="宋体" w:cs="宋体"/>
          <w:sz w:val="24"/>
        </w:rPr>
        <w:t>单位名称：</w:t>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p>
    <w:p>
      <w:pPr>
        <w:spacing w:line="480" w:lineRule="auto"/>
        <w:ind w:firstLine="610"/>
        <w:rPr>
          <w:rFonts w:hAnsi="宋体" w:cs="宋体"/>
          <w:sz w:val="24"/>
          <w:u w:val="single"/>
        </w:rPr>
      </w:pPr>
      <w:r>
        <w:rPr>
          <w:rFonts w:hint="eastAsia" w:hAnsi="宋体" w:cs="宋体"/>
          <w:sz w:val="24"/>
        </w:rPr>
        <w:t>单位性质：</w:t>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r>
        <w:rPr>
          <w:rFonts w:hint="eastAsia" w:hAnsi="宋体" w:cs="宋体"/>
          <w:sz w:val="24"/>
          <w:u w:val="single"/>
        </w:rPr>
        <w:tab/>
      </w:r>
    </w:p>
    <w:p>
      <w:pPr>
        <w:spacing w:line="480" w:lineRule="auto"/>
        <w:ind w:firstLine="610"/>
        <w:rPr>
          <w:rFonts w:hAnsi="宋体" w:cs="宋体"/>
          <w:sz w:val="24"/>
        </w:rPr>
      </w:pPr>
      <w:r>
        <w:rPr>
          <w:rFonts w:hint="eastAsia" w:hAnsi="宋体" w:cs="宋体"/>
          <w:sz w:val="24"/>
        </w:rPr>
        <w:t>地   址：</w:t>
      </w:r>
    </w:p>
    <w:p>
      <w:pPr>
        <w:spacing w:line="480" w:lineRule="auto"/>
        <w:ind w:firstLine="610"/>
        <w:rPr>
          <w:rFonts w:hAnsi="宋体" w:cs="宋体"/>
          <w:sz w:val="24"/>
        </w:rPr>
      </w:pPr>
      <w:r>
        <w:rPr>
          <w:rFonts w:hint="eastAsia" w:hAnsi="宋体" w:cs="宋体"/>
          <w:sz w:val="24"/>
        </w:rPr>
        <w:t>成立时间：   年  月  日</w:t>
      </w:r>
    </w:p>
    <w:p>
      <w:pPr>
        <w:spacing w:line="480" w:lineRule="auto"/>
        <w:ind w:firstLine="610"/>
        <w:rPr>
          <w:rFonts w:hAnsi="宋体" w:cs="宋体"/>
          <w:sz w:val="24"/>
          <w:u w:val="single"/>
        </w:rPr>
      </w:pPr>
      <w:r>
        <w:rPr>
          <w:rFonts w:hint="eastAsia" w:hAnsi="宋体" w:cs="宋体"/>
          <w:sz w:val="24"/>
        </w:rPr>
        <w:t>经营期限：</w:t>
      </w:r>
      <w:r>
        <w:rPr>
          <w:rFonts w:hint="eastAsia" w:hAnsi="宋体" w:cs="宋体"/>
          <w:sz w:val="24"/>
          <w:u w:val="single"/>
        </w:rPr>
        <w:tab/>
      </w:r>
      <w:r>
        <w:rPr>
          <w:rFonts w:hint="eastAsia" w:hAnsi="宋体" w:cs="宋体"/>
          <w:sz w:val="24"/>
          <w:u w:val="single"/>
        </w:rPr>
        <w:tab/>
      </w:r>
    </w:p>
    <w:p>
      <w:pPr>
        <w:spacing w:line="480" w:lineRule="auto"/>
        <w:ind w:firstLine="610"/>
        <w:rPr>
          <w:rFonts w:hAnsi="宋体" w:cs="宋体"/>
          <w:sz w:val="24"/>
          <w:u w:val="single"/>
        </w:rPr>
      </w:pPr>
      <w:r>
        <w:rPr>
          <w:rFonts w:hint="eastAsia" w:hAnsi="宋体" w:cs="宋体"/>
          <w:sz w:val="24"/>
        </w:rPr>
        <w:t>姓名：性别：年龄：职务：</w:t>
      </w:r>
      <w:r>
        <w:rPr>
          <w:rFonts w:hint="eastAsia" w:hAnsi="宋体" w:cs="宋体"/>
          <w:sz w:val="24"/>
          <w:u w:val="single"/>
        </w:rPr>
        <w:t>。</w:t>
      </w:r>
    </w:p>
    <w:p>
      <w:pPr>
        <w:spacing w:line="480" w:lineRule="auto"/>
        <w:ind w:firstLine="610"/>
        <w:rPr>
          <w:rFonts w:hAnsi="宋体" w:cs="宋体"/>
          <w:sz w:val="24"/>
        </w:rPr>
      </w:pPr>
      <w:r>
        <w:rPr>
          <w:rFonts w:hint="eastAsia" w:hAnsi="宋体" w:cs="宋体"/>
          <w:sz w:val="24"/>
        </w:rPr>
        <w:t>系</w:t>
      </w:r>
      <w:r>
        <w:rPr>
          <w:rFonts w:hint="eastAsia" w:hAnsi="宋体" w:cs="宋体"/>
          <w:sz w:val="24"/>
          <w:u w:val="single"/>
        </w:rPr>
        <w:t xml:space="preserve">                           （投标单位）</w:t>
      </w:r>
      <w:r>
        <w:rPr>
          <w:rFonts w:hint="eastAsia" w:hAnsi="宋体" w:cs="宋体"/>
          <w:sz w:val="24"/>
        </w:rPr>
        <w:t>的法定代表人。</w:t>
      </w:r>
    </w:p>
    <w:p>
      <w:pPr>
        <w:spacing w:line="480" w:lineRule="auto"/>
        <w:ind w:firstLine="610"/>
        <w:rPr>
          <w:rFonts w:hAnsi="宋体" w:cs="宋体"/>
          <w:sz w:val="24"/>
        </w:rPr>
      </w:pPr>
      <w:r>
        <w:rPr>
          <w:rFonts w:hint="eastAsia" w:hAnsi="宋体" w:cs="宋体"/>
          <w:sz w:val="24"/>
        </w:rPr>
        <w:t>特此证明。</w:t>
      </w:r>
    </w:p>
    <w:p>
      <w:pPr>
        <w:spacing w:line="360" w:lineRule="exact"/>
        <w:ind w:firstLine="610"/>
        <w:rPr>
          <w:rFonts w:hAnsi="宋体" w:cs="宋体"/>
          <w:sz w:val="24"/>
        </w:rPr>
      </w:pPr>
    </w:p>
    <w:p>
      <w:pPr>
        <w:spacing w:line="360" w:lineRule="exact"/>
        <w:ind w:firstLine="610"/>
        <w:rPr>
          <w:rFonts w:hAnsi="宋体" w:cs="宋体"/>
          <w:sz w:val="24"/>
        </w:rPr>
      </w:pPr>
    </w:p>
    <w:p>
      <w:pPr>
        <w:spacing w:line="360" w:lineRule="exact"/>
        <w:ind w:firstLine="610"/>
        <w:rPr>
          <w:rFonts w:hAnsi="宋体" w:cs="宋体"/>
          <w:b/>
          <w:sz w:val="24"/>
        </w:rPr>
      </w:pPr>
      <w:r>
        <w:rPr>
          <w:rFonts w:hint="eastAsia" w:hAnsi="宋体" w:cs="宋体"/>
          <w:b/>
          <w:sz w:val="24"/>
        </w:rPr>
        <w:t>注：后附法定代表人身份证复印件。</w:t>
      </w: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rPr>
          <w:rFonts w:hAnsi="宋体" w:cs="宋体"/>
          <w:sz w:val="24"/>
        </w:rPr>
      </w:pPr>
    </w:p>
    <w:p>
      <w:pPr>
        <w:tabs>
          <w:tab w:val="left" w:pos="720"/>
          <w:tab w:val="left" w:pos="900"/>
        </w:tabs>
        <w:spacing w:line="360" w:lineRule="exact"/>
        <w:ind w:firstLine="5040" w:firstLineChars="2100"/>
        <w:rPr>
          <w:rFonts w:hAnsi="宋体" w:cs="宋体"/>
          <w:sz w:val="24"/>
          <w:u w:val="single"/>
        </w:rPr>
      </w:pPr>
      <w:r>
        <w:rPr>
          <w:rFonts w:hint="eastAsia" w:hAnsi="宋体" w:cs="宋体"/>
          <w:sz w:val="24"/>
        </w:rPr>
        <w:t>投标人：</w:t>
      </w:r>
      <w:r>
        <w:rPr>
          <w:rFonts w:hint="eastAsia" w:hAnsi="宋体" w:cs="宋体"/>
          <w:sz w:val="24"/>
          <w:u w:val="single"/>
        </w:rPr>
        <w:t xml:space="preserve">             （盖章）</w:t>
      </w:r>
    </w:p>
    <w:p>
      <w:pPr>
        <w:tabs>
          <w:tab w:val="left" w:pos="720"/>
          <w:tab w:val="left" w:pos="900"/>
        </w:tabs>
        <w:spacing w:line="360" w:lineRule="exact"/>
        <w:ind w:firstLine="5040" w:firstLineChars="2100"/>
        <w:rPr>
          <w:rFonts w:hAnsi="宋体" w:cs="宋体"/>
          <w:sz w:val="24"/>
        </w:rPr>
      </w:pPr>
    </w:p>
    <w:p>
      <w:pPr>
        <w:tabs>
          <w:tab w:val="left" w:pos="720"/>
          <w:tab w:val="left" w:pos="900"/>
        </w:tabs>
        <w:spacing w:line="360" w:lineRule="exact"/>
        <w:ind w:firstLine="5040" w:firstLineChars="2100"/>
        <w:rPr>
          <w:rFonts w:hAnsi="宋体" w:cs="宋体"/>
          <w:sz w:val="24"/>
        </w:rPr>
      </w:pPr>
    </w:p>
    <w:p>
      <w:pPr>
        <w:tabs>
          <w:tab w:val="left" w:pos="720"/>
          <w:tab w:val="left" w:pos="900"/>
        </w:tabs>
        <w:spacing w:line="360" w:lineRule="exact"/>
        <w:ind w:firstLine="6000" w:firstLineChars="2500"/>
        <w:rPr>
          <w:rFonts w:hAnsi="宋体" w:cs="宋体"/>
        </w:rPr>
      </w:pPr>
      <w:r>
        <w:rPr>
          <w:rFonts w:hint="eastAsia" w:hAnsi="宋体" w:cs="宋体"/>
          <w:sz w:val="24"/>
        </w:rPr>
        <w:t>年月日</w:t>
      </w:r>
    </w:p>
    <w:p>
      <w:pPr>
        <w:jc w:val="center"/>
        <w:rPr>
          <w:rFonts w:hAnsi="宋体" w:cs="宋体"/>
          <w:b/>
          <w:sz w:val="32"/>
        </w:rPr>
      </w:pPr>
      <w:r>
        <w:rPr>
          <w:rFonts w:hint="eastAsia" w:hAnsi="宋体" w:cs="宋体"/>
        </w:rPr>
        <w:br w:type="page"/>
      </w:r>
    </w:p>
    <w:p>
      <w:pPr>
        <w:jc w:val="center"/>
        <w:outlineLvl w:val="1"/>
        <w:rPr>
          <w:rFonts w:hAnsi="宋体" w:cs="宋体"/>
          <w:b/>
          <w:sz w:val="32"/>
        </w:rPr>
      </w:pPr>
      <w:r>
        <w:rPr>
          <w:rFonts w:hint="eastAsia" w:hAnsi="宋体" w:cs="宋体"/>
          <w:b/>
          <w:sz w:val="32"/>
        </w:rPr>
        <w:t>（三）法定代表人授权委托书</w:t>
      </w:r>
    </w:p>
    <w:p>
      <w:pPr>
        <w:spacing w:line="360" w:lineRule="exact"/>
        <w:jc w:val="center"/>
        <w:rPr>
          <w:rFonts w:hAnsi="宋体" w:cs="宋体"/>
          <w:b/>
          <w:sz w:val="24"/>
          <w:szCs w:val="24"/>
        </w:rPr>
      </w:pPr>
    </w:p>
    <w:p>
      <w:pPr>
        <w:spacing w:line="360" w:lineRule="auto"/>
        <w:ind w:firstLine="600"/>
        <w:jc w:val="left"/>
        <w:rPr>
          <w:rFonts w:hAnsi="宋体" w:cs="宋体"/>
          <w:sz w:val="24"/>
          <w:szCs w:val="24"/>
          <w:u w:val="single"/>
        </w:rPr>
      </w:pPr>
      <w:r>
        <w:rPr>
          <w:rFonts w:hint="eastAsia" w:hAnsi="宋体" w:cs="宋体"/>
          <w:sz w:val="24"/>
          <w:szCs w:val="24"/>
        </w:rPr>
        <w:t>本授权委托书声明：我（姓名）系</w:t>
      </w:r>
      <w:r>
        <w:rPr>
          <w:rFonts w:hint="eastAsia" w:hAnsi="宋体" w:cs="宋体"/>
          <w:sz w:val="24"/>
          <w:szCs w:val="24"/>
          <w:u w:val="single"/>
        </w:rPr>
        <w:t xml:space="preserve">                   （投标单位） </w:t>
      </w:r>
      <w:r>
        <w:rPr>
          <w:rFonts w:hint="eastAsia" w:hAnsi="宋体" w:cs="宋体"/>
          <w:sz w:val="24"/>
          <w:szCs w:val="24"/>
        </w:rPr>
        <w:t>的法定代表人，现授权委托为我公司授权代理人，以本公司的名义参加</w:t>
      </w:r>
      <w:r>
        <w:rPr>
          <w:rFonts w:hint="eastAsia" w:hAnsi="宋体" w:cs="宋体"/>
          <w:sz w:val="24"/>
        </w:rPr>
        <w:t>：河北建工集团承建的</w:t>
      </w:r>
      <w:r>
        <w:rPr>
          <w:rFonts w:hint="eastAsia" w:hAnsi="宋体" w:cs="宋体"/>
          <w:sz w:val="24"/>
          <w:szCs w:val="24"/>
          <w:u w:val="single"/>
        </w:rPr>
        <w:t>容东片区C组团安置房及配套设施项目</w:t>
      </w:r>
      <w:r>
        <w:rPr>
          <w:rFonts w:hint="eastAsia" w:hAnsi="宋体" w:cs="宋体"/>
          <w:sz w:val="24"/>
          <w:szCs w:val="24"/>
        </w:rPr>
        <w:t>土方工程专业分包的投标活动。代理人在开标、评标、合同谈判过程中所签署的一切文件和处理与之有关的一切事务，我均予以承认。</w:t>
      </w:r>
    </w:p>
    <w:p>
      <w:pPr>
        <w:spacing w:line="360" w:lineRule="auto"/>
        <w:rPr>
          <w:rFonts w:hAnsi="宋体" w:cs="宋体"/>
          <w:sz w:val="24"/>
          <w:szCs w:val="24"/>
        </w:rPr>
      </w:pPr>
    </w:p>
    <w:p>
      <w:pPr>
        <w:spacing w:line="360" w:lineRule="auto"/>
        <w:ind w:firstLine="480" w:firstLineChars="200"/>
        <w:rPr>
          <w:rFonts w:hAnsi="宋体" w:cs="宋体"/>
          <w:sz w:val="24"/>
          <w:szCs w:val="24"/>
        </w:rPr>
      </w:pPr>
      <w:r>
        <w:rPr>
          <w:rFonts w:hint="eastAsia" w:hAnsi="宋体" w:cs="宋体"/>
          <w:sz w:val="24"/>
          <w:szCs w:val="24"/>
        </w:rPr>
        <w:t>代理人无转委权。特此证明。</w:t>
      </w:r>
    </w:p>
    <w:p>
      <w:pPr>
        <w:spacing w:line="360" w:lineRule="auto"/>
        <w:ind w:firstLine="480" w:firstLineChars="200"/>
        <w:rPr>
          <w:rFonts w:hAnsi="宋体" w:cs="宋体"/>
          <w:sz w:val="24"/>
          <w:szCs w:val="24"/>
        </w:rPr>
      </w:pPr>
      <w:r>
        <w:rPr>
          <w:rFonts w:hint="eastAsia" w:hAnsi="宋体" w:cs="宋体"/>
          <w:sz w:val="24"/>
          <w:szCs w:val="24"/>
        </w:rPr>
        <w:t>授权委托期限：2020 年  月   日至2020年   月   日</w:t>
      </w:r>
    </w:p>
    <w:p>
      <w:pPr>
        <w:spacing w:line="360" w:lineRule="exact"/>
        <w:ind w:left="1260"/>
        <w:rPr>
          <w:rFonts w:hAnsi="宋体" w:cs="宋体"/>
          <w:sz w:val="24"/>
        </w:rPr>
      </w:pPr>
    </w:p>
    <w:p>
      <w:pPr>
        <w:spacing w:line="360" w:lineRule="exact"/>
        <w:rPr>
          <w:rFonts w:hAnsi="宋体" w:cs="宋体"/>
          <w:sz w:val="24"/>
        </w:rPr>
      </w:pPr>
    </w:p>
    <w:p>
      <w:pPr>
        <w:spacing w:line="360" w:lineRule="exact"/>
        <w:ind w:left="1260"/>
        <w:rPr>
          <w:rFonts w:hAnsi="宋体" w:cs="宋体"/>
          <w:sz w:val="24"/>
        </w:rPr>
      </w:pPr>
    </w:p>
    <w:p>
      <w:pPr>
        <w:spacing w:line="360" w:lineRule="exact"/>
        <w:ind w:left="1260"/>
        <w:rPr>
          <w:rFonts w:hAnsi="宋体" w:cs="宋体"/>
          <w:sz w:val="24"/>
        </w:rPr>
      </w:pPr>
    </w:p>
    <w:p>
      <w:pPr>
        <w:spacing w:line="360" w:lineRule="exact"/>
        <w:ind w:firstLine="960" w:firstLineChars="400"/>
        <w:rPr>
          <w:rFonts w:hAnsi="宋体" w:cs="宋体"/>
          <w:sz w:val="24"/>
        </w:rPr>
      </w:pPr>
      <w:r>
        <w:rPr>
          <w:rFonts w:hint="eastAsia" w:hAnsi="宋体" w:cs="宋体"/>
          <w:sz w:val="24"/>
        </w:rPr>
        <w:t>代理人：性别 ：年龄:</w:t>
      </w:r>
    </w:p>
    <w:p>
      <w:pPr>
        <w:spacing w:line="360" w:lineRule="exact"/>
        <w:ind w:firstLine="960" w:firstLineChars="400"/>
        <w:rPr>
          <w:rFonts w:hAnsi="宋体" w:cs="宋体"/>
          <w:sz w:val="24"/>
        </w:rPr>
      </w:pPr>
    </w:p>
    <w:p>
      <w:pPr>
        <w:spacing w:line="360" w:lineRule="exact"/>
        <w:ind w:firstLine="960" w:firstLineChars="400"/>
        <w:rPr>
          <w:rFonts w:hAnsi="宋体" w:cs="宋体"/>
          <w:sz w:val="24"/>
          <w:u w:val="single"/>
        </w:rPr>
      </w:pPr>
      <w:r>
        <w:rPr>
          <w:rFonts w:hint="eastAsia" w:hAnsi="宋体" w:cs="宋体"/>
          <w:sz w:val="24"/>
        </w:rPr>
        <w:t>身份证号码：职务：</w:t>
      </w:r>
    </w:p>
    <w:p>
      <w:pPr>
        <w:spacing w:line="360" w:lineRule="exact"/>
        <w:ind w:left="2699"/>
        <w:rPr>
          <w:rFonts w:hAnsi="宋体" w:cs="宋体"/>
          <w:sz w:val="24"/>
        </w:rPr>
      </w:pPr>
    </w:p>
    <w:p>
      <w:pPr>
        <w:spacing w:line="360" w:lineRule="exact"/>
        <w:ind w:left="960"/>
        <w:rPr>
          <w:rFonts w:hAnsi="宋体" w:cs="宋体"/>
          <w:sz w:val="24"/>
        </w:rPr>
      </w:pPr>
    </w:p>
    <w:p>
      <w:pPr>
        <w:spacing w:line="360" w:lineRule="exact"/>
        <w:ind w:left="960"/>
        <w:rPr>
          <w:rFonts w:hAnsi="宋体" w:cs="宋体"/>
          <w:sz w:val="24"/>
        </w:rPr>
      </w:pPr>
      <w:r>
        <w:rPr>
          <w:rFonts w:hint="eastAsia" w:hAnsi="宋体" w:cs="宋体"/>
          <w:sz w:val="24"/>
        </w:rPr>
        <w:t>投标人：</w:t>
      </w:r>
      <w:r>
        <w:rPr>
          <w:rFonts w:hint="eastAsia" w:hAnsi="宋体" w:cs="宋体"/>
          <w:sz w:val="24"/>
          <w:u w:val="single"/>
        </w:rPr>
        <w:t xml:space="preserve">                                      （盖章）</w:t>
      </w:r>
    </w:p>
    <w:p>
      <w:pPr>
        <w:spacing w:line="360" w:lineRule="exact"/>
        <w:ind w:left="2699"/>
        <w:rPr>
          <w:rFonts w:hAnsi="宋体" w:cs="宋体"/>
          <w:sz w:val="24"/>
        </w:rPr>
      </w:pPr>
    </w:p>
    <w:p>
      <w:pPr>
        <w:spacing w:line="360" w:lineRule="exact"/>
        <w:ind w:left="960"/>
        <w:rPr>
          <w:rFonts w:hAnsi="宋体" w:cs="宋体"/>
          <w:sz w:val="24"/>
        </w:rPr>
      </w:pPr>
    </w:p>
    <w:p>
      <w:pPr>
        <w:spacing w:line="360" w:lineRule="exact"/>
        <w:ind w:left="960"/>
        <w:rPr>
          <w:rFonts w:hAnsi="宋体" w:cs="宋体"/>
          <w:sz w:val="24"/>
        </w:rPr>
      </w:pPr>
      <w:r>
        <w:rPr>
          <w:rFonts w:hint="eastAsia" w:hAnsi="宋体" w:cs="宋体"/>
          <w:sz w:val="24"/>
        </w:rPr>
        <w:t>法定代表人：</w:t>
      </w:r>
      <w:r>
        <w:rPr>
          <w:rFonts w:hint="eastAsia" w:hAnsi="宋体" w:cs="宋体"/>
          <w:sz w:val="24"/>
          <w:u w:val="single"/>
        </w:rPr>
        <w:t xml:space="preserve">                              （签字或盖章）</w:t>
      </w:r>
    </w:p>
    <w:p>
      <w:pPr>
        <w:spacing w:line="360" w:lineRule="exact"/>
        <w:ind w:left="2699"/>
        <w:rPr>
          <w:rFonts w:hAnsi="宋体" w:cs="宋体"/>
          <w:sz w:val="24"/>
        </w:rPr>
      </w:pPr>
    </w:p>
    <w:p>
      <w:pPr>
        <w:spacing w:line="360" w:lineRule="exact"/>
        <w:ind w:left="4587" w:leftChars="1349" w:firstLine="2400" w:firstLineChars="1000"/>
        <w:rPr>
          <w:rFonts w:hAnsi="宋体" w:cs="宋体"/>
          <w:sz w:val="24"/>
        </w:rPr>
      </w:pPr>
    </w:p>
    <w:p>
      <w:pPr>
        <w:spacing w:line="360" w:lineRule="exact"/>
        <w:ind w:left="4587" w:leftChars="1349" w:firstLine="2400" w:firstLineChars="1000"/>
        <w:rPr>
          <w:rFonts w:hAnsi="宋体" w:cs="宋体"/>
          <w:sz w:val="24"/>
        </w:rPr>
      </w:pPr>
    </w:p>
    <w:p>
      <w:pPr>
        <w:spacing w:line="360" w:lineRule="exact"/>
        <w:jc w:val="center"/>
        <w:rPr>
          <w:rFonts w:hAnsi="宋体" w:cs="宋体"/>
          <w:sz w:val="24"/>
        </w:rPr>
      </w:pPr>
      <w:r>
        <w:rPr>
          <w:rFonts w:hint="eastAsia" w:hAnsi="宋体" w:cs="宋体"/>
          <w:sz w:val="24"/>
        </w:rPr>
        <w:t xml:space="preserve">                授权委托日期： 年   月   日</w:t>
      </w:r>
    </w:p>
    <w:p>
      <w:pPr>
        <w:spacing w:line="400" w:lineRule="exact"/>
        <w:jc w:val="left"/>
        <w:rPr>
          <w:rFonts w:hAnsi="宋体" w:cs="宋体"/>
          <w:b/>
          <w:sz w:val="24"/>
        </w:rPr>
      </w:pPr>
    </w:p>
    <w:p>
      <w:pPr>
        <w:spacing w:line="400" w:lineRule="exact"/>
        <w:jc w:val="left"/>
        <w:rPr>
          <w:rFonts w:hAnsi="宋体" w:cs="宋体"/>
          <w:b/>
          <w:sz w:val="24"/>
        </w:rPr>
      </w:pPr>
    </w:p>
    <w:p>
      <w:pPr>
        <w:spacing w:line="400" w:lineRule="exact"/>
        <w:jc w:val="left"/>
        <w:rPr>
          <w:rFonts w:hAnsi="宋体" w:cs="宋体"/>
          <w:b/>
          <w:sz w:val="24"/>
        </w:rPr>
      </w:pPr>
      <w:r>
        <w:rPr>
          <w:rFonts w:hint="eastAsia" w:hAnsi="宋体" w:cs="宋体"/>
          <w:b/>
          <w:sz w:val="24"/>
        </w:rPr>
        <w:t>注：后附被授权人身份证复印件。</w:t>
      </w:r>
    </w:p>
    <w:p>
      <w:pPr>
        <w:numPr>
          <w:ilvl w:val="0"/>
          <w:numId w:val="4"/>
        </w:numPr>
        <w:spacing w:line="400" w:lineRule="exact"/>
        <w:jc w:val="left"/>
        <w:rPr>
          <w:rFonts w:hAnsi="宋体" w:cs="宋体"/>
          <w:b/>
          <w:sz w:val="32"/>
          <w:szCs w:val="32"/>
        </w:rPr>
      </w:pPr>
      <w:r>
        <w:rPr>
          <w:rFonts w:hint="eastAsia" w:hAnsi="宋体" w:cs="宋体"/>
        </w:rPr>
        <w:br w:type="page"/>
      </w:r>
    </w:p>
    <w:p>
      <w:pPr>
        <w:widowControl/>
        <w:jc w:val="center"/>
        <w:outlineLvl w:val="1"/>
        <w:rPr>
          <w:rFonts w:hAnsi="宋体" w:cs="宋体"/>
          <w:b/>
          <w:sz w:val="32"/>
          <w:szCs w:val="32"/>
        </w:rPr>
      </w:pPr>
      <w:r>
        <w:rPr>
          <w:rFonts w:hint="eastAsia" w:hAnsi="宋体" w:cs="宋体"/>
          <w:b/>
          <w:sz w:val="32"/>
          <w:szCs w:val="32"/>
        </w:rPr>
        <w:t>（四）投标保证金缴纳证明复印件</w:t>
      </w:r>
    </w:p>
    <w:p>
      <w:pPr>
        <w:pStyle w:val="2"/>
        <w:ind w:firstLine="528"/>
      </w:pPr>
      <w:r>
        <w:br w:type="page"/>
      </w:r>
    </w:p>
    <w:p>
      <w:pPr>
        <w:widowControl/>
        <w:jc w:val="center"/>
        <w:outlineLvl w:val="1"/>
        <w:rPr>
          <w:rFonts w:hAnsi="宋体" w:cs="宋体"/>
          <w:b/>
          <w:sz w:val="32"/>
          <w:szCs w:val="32"/>
        </w:rPr>
      </w:pPr>
      <w:r>
        <w:rPr>
          <w:rFonts w:hint="eastAsia" w:hAnsi="宋体" w:cs="宋体"/>
          <w:b/>
          <w:sz w:val="32"/>
          <w:szCs w:val="32"/>
        </w:rPr>
        <w:t>（五）投标人营业执照、雄安新区道路运输经营许可证（如有）、雄安新区建筑垃圾运输企业资质证书（如有）、增值税一般纳税人证明、业绩等相关证件复印件（加盖公章）</w:t>
      </w:r>
      <w:r>
        <w:rPr>
          <w:rFonts w:hAnsi="宋体" w:cs="宋体"/>
          <w:b/>
          <w:sz w:val="32"/>
          <w:szCs w:val="32"/>
        </w:rPr>
        <w:cr/>
      </w:r>
    </w:p>
    <w:p>
      <w:pPr>
        <w:pStyle w:val="2"/>
        <w:ind w:firstLine="528"/>
      </w:pPr>
      <w:r>
        <w:br w:type="page"/>
      </w:r>
    </w:p>
    <w:p>
      <w:pPr>
        <w:spacing w:line="480" w:lineRule="auto"/>
        <w:ind w:firstLine="482" w:firstLineChars="150"/>
        <w:jc w:val="center"/>
        <w:outlineLvl w:val="1"/>
        <w:rPr>
          <w:rFonts w:hAnsi="宋体" w:cs="宋体"/>
          <w:b/>
          <w:sz w:val="44"/>
          <w:szCs w:val="44"/>
        </w:rPr>
      </w:pPr>
      <w:r>
        <w:rPr>
          <w:rFonts w:hint="eastAsia" w:hAnsi="宋体" w:cs="宋体"/>
          <w:b/>
          <w:sz w:val="32"/>
        </w:rPr>
        <w:t>（六）投 标 报 价</w:t>
      </w:r>
    </w:p>
    <w:p>
      <w:pPr>
        <w:rPr>
          <w:rFonts w:hAnsi="宋体" w:cs="宋体"/>
          <w:szCs w:val="21"/>
        </w:rPr>
      </w:pPr>
    </w:p>
    <w:p>
      <w:pPr>
        <w:rPr>
          <w:rFonts w:hAnsi="宋体" w:cs="宋体"/>
          <w:szCs w:val="21"/>
        </w:rPr>
      </w:pPr>
    </w:p>
    <w:p>
      <w:pPr>
        <w:rPr>
          <w:rFonts w:hAnsi="宋体" w:cs="宋体"/>
          <w:sz w:val="30"/>
          <w:szCs w:val="30"/>
        </w:rPr>
      </w:pPr>
    </w:p>
    <w:p>
      <w:pPr>
        <w:rPr>
          <w:rFonts w:hAnsi="宋体" w:cs="宋体"/>
          <w:sz w:val="30"/>
          <w:szCs w:val="30"/>
          <w:u w:val="single"/>
        </w:rPr>
      </w:pPr>
      <w:r>
        <w:rPr>
          <w:rFonts w:hint="eastAsia" w:hAnsi="宋体" w:cs="宋体"/>
          <w:sz w:val="30"/>
          <w:szCs w:val="30"/>
        </w:rPr>
        <w:t>招   标   人：</w:t>
      </w:r>
    </w:p>
    <w:p>
      <w:pPr>
        <w:rPr>
          <w:rFonts w:hAnsi="宋体" w:cs="宋体"/>
          <w:szCs w:val="21"/>
        </w:rPr>
      </w:pPr>
    </w:p>
    <w:p>
      <w:pPr>
        <w:rPr>
          <w:rFonts w:hAnsi="宋体" w:cs="宋体"/>
          <w:sz w:val="30"/>
          <w:szCs w:val="30"/>
          <w:u w:val="single"/>
        </w:rPr>
      </w:pPr>
      <w:r>
        <w:rPr>
          <w:rFonts w:hint="eastAsia" w:hAnsi="宋体" w:cs="宋体"/>
          <w:sz w:val="30"/>
          <w:szCs w:val="30"/>
        </w:rPr>
        <w:t>工  程 名 称：</w:t>
      </w:r>
    </w:p>
    <w:p>
      <w:pPr>
        <w:spacing w:line="720" w:lineRule="exact"/>
        <w:rPr>
          <w:rFonts w:hAnsi="宋体" w:cs="宋体"/>
          <w:sz w:val="30"/>
          <w:szCs w:val="30"/>
          <w:u w:val="single"/>
        </w:rPr>
      </w:pPr>
      <w:r>
        <w:rPr>
          <w:rFonts w:hint="eastAsia" w:hAnsi="宋体" w:cs="宋体"/>
          <w:sz w:val="30"/>
          <w:szCs w:val="30"/>
        </w:rPr>
        <w:t>投标报价（小写）：</w:t>
      </w:r>
    </w:p>
    <w:p>
      <w:pPr>
        <w:spacing w:line="720" w:lineRule="exact"/>
        <w:rPr>
          <w:rFonts w:hAnsi="宋体" w:cs="宋体"/>
          <w:sz w:val="30"/>
          <w:szCs w:val="30"/>
          <w:u w:val="single"/>
        </w:rPr>
      </w:pPr>
      <w:r>
        <w:rPr>
          <w:rFonts w:hint="eastAsia" w:hAnsi="宋体" w:cs="宋体"/>
          <w:sz w:val="30"/>
          <w:szCs w:val="30"/>
        </w:rPr>
        <w:t xml:space="preserve">        （大写）：</w:t>
      </w:r>
    </w:p>
    <w:p>
      <w:pPr>
        <w:spacing w:line="360" w:lineRule="exact"/>
        <w:rPr>
          <w:rFonts w:hAnsi="宋体" w:cs="宋体"/>
          <w:sz w:val="30"/>
          <w:szCs w:val="30"/>
        </w:rPr>
      </w:pPr>
    </w:p>
    <w:p>
      <w:pPr>
        <w:spacing w:line="360" w:lineRule="exact"/>
        <w:rPr>
          <w:rFonts w:hAnsi="宋体" w:cs="宋体"/>
          <w:szCs w:val="21"/>
        </w:rPr>
      </w:pPr>
    </w:p>
    <w:p>
      <w:pPr>
        <w:rPr>
          <w:rFonts w:hAnsi="宋体" w:cs="宋体"/>
          <w:szCs w:val="21"/>
        </w:rPr>
      </w:pPr>
      <w:r>
        <w:rPr>
          <w:rFonts w:hint="eastAsia" w:hAnsi="宋体" w:cs="宋体"/>
          <w:sz w:val="30"/>
          <w:szCs w:val="30"/>
        </w:rPr>
        <w:t>投   标   人：                   （单位盖章）</w:t>
      </w:r>
    </w:p>
    <w:p>
      <w:pPr>
        <w:spacing w:line="360" w:lineRule="exact"/>
        <w:rPr>
          <w:rFonts w:hAnsi="宋体" w:cs="宋体"/>
          <w:szCs w:val="21"/>
        </w:rPr>
      </w:pPr>
    </w:p>
    <w:p>
      <w:pPr>
        <w:spacing w:line="360" w:lineRule="exact"/>
        <w:rPr>
          <w:rFonts w:hAnsi="宋体" w:cs="宋体"/>
          <w:szCs w:val="21"/>
        </w:rPr>
      </w:pPr>
    </w:p>
    <w:p>
      <w:pPr>
        <w:spacing w:line="360" w:lineRule="exact"/>
        <w:rPr>
          <w:rFonts w:hAnsi="宋体" w:cs="宋体"/>
          <w:szCs w:val="21"/>
        </w:rPr>
      </w:pPr>
    </w:p>
    <w:p>
      <w:pPr>
        <w:spacing w:line="360" w:lineRule="exact"/>
        <w:rPr>
          <w:rFonts w:hAnsi="宋体" w:cs="宋体"/>
          <w:sz w:val="30"/>
          <w:szCs w:val="30"/>
        </w:rPr>
      </w:pPr>
      <w:r>
        <w:rPr>
          <w:rFonts w:hint="eastAsia" w:hAnsi="宋体" w:cs="宋体"/>
          <w:sz w:val="30"/>
          <w:szCs w:val="30"/>
        </w:rPr>
        <w:t>法定代表人</w:t>
      </w:r>
    </w:p>
    <w:p>
      <w:pPr>
        <w:spacing w:line="360" w:lineRule="exact"/>
        <w:ind w:left="4350" w:hanging="4350" w:hangingChars="1450"/>
        <w:jc w:val="left"/>
        <w:rPr>
          <w:rFonts w:hAnsi="宋体" w:cs="宋体"/>
          <w:szCs w:val="21"/>
        </w:rPr>
      </w:pPr>
      <w:r>
        <w:rPr>
          <w:rFonts w:hint="eastAsia" w:hAnsi="宋体" w:cs="宋体"/>
          <w:sz w:val="30"/>
          <w:szCs w:val="30"/>
        </w:rPr>
        <w:t>或其授权委托人：                （签字或盖章）</w:t>
      </w: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rPr>
          <w:rFonts w:hAnsi="宋体" w:cs="宋体"/>
          <w:sz w:val="28"/>
          <w:szCs w:val="28"/>
        </w:rPr>
      </w:pPr>
    </w:p>
    <w:p>
      <w:pPr>
        <w:rPr>
          <w:rFonts w:hAnsi="宋体" w:cs="宋体"/>
          <w:sz w:val="28"/>
          <w:szCs w:val="28"/>
        </w:rPr>
      </w:pPr>
    </w:p>
    <w:p>
      <w:pPr>
        <w:rPr>
          <w:rFonts w:hAnsi="宋体" w:cs="宋体"/>
          <w:sz w:val="28"/>
          <w:szCs w:val="28"/>
        </w:rPr>
      </w:pPr>
      <w:r>
        <w:rPr>
          <w:rFonts w:hint="eastAsia" w:hAnsi="宋体" w:cs="宋体"/>
          <w:sz w:val="28"/>
          <w:szCs w:val="28"/>
        </w:rPr>
        <w:t>编制时间：     年    月    日</w:t>
      </w:r>
    </w:p>
    <w:p>
      <w:pPr>
        <w:spacing w:line="360" w:lineRule="exact"/>
        <w:rPr>
          <w:rFonts w:hAnsi="宋体" w:cs="宋体"/>
          <w:b/>
          <w:sz w:val="44"/>
          <w:szCs w:val="44"/>
        </w:rPr>
      </w:pPr>
    </w:p>
    <w:p>
      <w:pPr>
        <w:spacing w:line="360" w:lineRule="exact"/>
        <w:rPr>
          <w:rFonts w:hAnsi="宋体" w:cs="宋体"/>
          <w:b/>
          <w:sz w:val="44"/>
          <w:szCs w:val="44"/>
        </w:rPr>
      </w:pPr>
    </w:p>
    <w:p>
      <w:pPr>
        <w:widowControl/>
        <w:jc w:val="center"/>
        <w:rPr>
          <w:rFonts w:hAnsi="宋体" w:cs="宋体"/>
          <w:b/>
          <w:sz w:val="40"/>
          <w:szCs w:val="40"/>
        </w:rPr>
      </w:pPr>
      <w:r>
        <w:rPr>
          <w:rFonts w:hint="eastAsia" w:hAnsi="宋体" w:cs="宋体"/>
          <w:b/>
          <w:sz w:val="44"/>
          <w:szCs w:val="44"/>
        </w:rPr>
        <w:br w:type="page"/>
      </w:r>
      <w:r>
        <w:rPr>
          <w:rFonts w:hint="eastAsia" w:hAnsi="宋体" w:cs="宋体"/>
          <w:b/>
          <w:sz w:val="40"/>
          <w:szCs w:val="40"/>
        </w:rPr>
        <w:t>报价说明</w:t>
      </w:r>
    </w:p>
    <w:p>
      <w:pPr>
        <w:pStyle w:val="2"/>
        <w:spacing w:beforeLines="50" w:line="400" w:lineRule="exact"/>
        <w:ind w:left="0" w:firstLine="482"/>
        <w:rPr>
          <w:rFonts w:hAnsi="宋体" w:cs="宋体"/>
          <w:b/>
          <w:bCs/>
          <w:spacing w:val="0"/>
          <w:szCs w:val="22"/>
          <w:u w:val="single"/>
        </w:rPr>
      </w:pPr>
      <w:r>
        <w:rPr>
          <w:rFonts w:hint="eastAsia" w:hAnsi="宋体" w:cs="宋体"/>
          <w:b/>
          <w:bCs/>
          <w:spacing w:val="0"/>
          <w:szCs w:val="22"/>
          <w:u w:val="single"/>
        </w:rPr>
        <w:t>投标报价应综合考虑以下内容（已包含在报价中）：</w:t>
      </w:r>
    </w:p>
    <w:p>
      <w:pPr>
        <w:spacing w:line="400" w:lineRule="exact"/>
        <w:ind w:firstLine="480" w:firstLineChars="200"/>
        <w:rPr>
          <w:rFonts w:hAnsi="宋体" w:cs="宋体"/>
          <w:sz w:val="24"/>
          <w:szCs w:val="22"/>
        </w:rPr>
      </w:pPr>
      <w:r>
        <w:rPr>
          <w:rFonts w:hint="eastAsia" w:hAnsi="宋体" w:cs="宋体"/>
          <w:sz w:val="24"/>
          <w:szCs w:val="22"/>
        </w:rPr>
        <w:t>（1）司机工资、机械、设备的进出场费、机械费、人工费、冬雨季施工措施费（如雨季道路铺垫）；各种保险费、防疫费、一切用工费及政策性文件 、规定费用等全部内容；</w:t>
      </w:r>
    </w:p>
    <w:p>
      <w:pPr>
        <w:spacing w:line="400" w:lineRule="exact"/>
        <w:ind w:firstLine="480" w:firstLineChars="200"/>
        <w:rPr>
          <w:rFonts w:hAnsi="宋体" w:cs="宋体"/>
          <w:sz w:val="24"/>
          <w:szCs w:val="22"/>
        </w:rPr>
      </w:pPr>
      <w:r>
        <w:rPr>
          <w:rFonts w:hint="eastAsia" w:hAnsi="宋体" w:cs="宋体"/>
          <w:sz w:val="24"/>
          <w:szCs w:val="22"/>
        </w:rPr>
        <w:t>投标人根据现场实际情况，图纸要求，综合考虑施工过程中措施性、辅助性作业内容，不再另行记取费用。</w:t>
      </w:r>
    </w:p>
    <w:p>
      <w:pPr>
        <w:spacing w:line="400" w:lineRule="exact"/>
        <w:ind w:firstLine="480" w:firstLineChars="200"/>
        <w:rPr>
          <w:rFonts w:hAnsi="宋体" w:cs="宋体"/>
          <w:sz w:val="24"/>
          <w:szCs w:val="22"/>
        </w:rPr>
      </w:pPr>
      <w:r>
        <w:rPr>
          <w:rFonts w:hint="eastAsia" w:hAnsi="宋体" w:cs="宋体"/>
          <w:sz w:val="24"/>
          <w:szCs w:val="22"/>
        </w:rPr>
        <w:t>（2）企业管理费、利润、风险、税金及各种规费；</w:t>
      </w:r>
    </w:p>
    <w:p>
      <w:pPr>
        <w:spacing w:line="400" w:lineRule="exact"/>
        <w:ind w:firstLine="480" w:firstLineChars="200"/>
        <w:rPr>
          <w:rFonts w:hAnsi="宋体" w:cs="宋体"/>
          <w:sz w:val="24"/>
          <w:szCs w:val="22"/>
        </w:rPr>
      </w:pPr>
      <w:r>
        <w:rPr>
          <w:rFonts w:hint="eastAsia" w:hAnsi="宋体" w:cs="宋体"/>
          <w:sz w:val="24"/>
          <w:szCs w:val="22"/>
        </w:rPr>
        <w:t>（3）现场及图纸范围内费用：</w:t>
      </w:r>
    </w:p>
    <w:p>
      <w:pPr>
        <w:spacing w:line="400" w:lineRule="exact"/>
        <w:ind w:firstLine="720" w:firstLineChars="300"/>
        <w:rPr>
          <w:rFonts w:hAnsi="宋体" w:cs="宋体"/>
          <w:sz w:val="24"/>
          <w:szCs w:val="22"/>
        </w:rPr>
      </w:pPr>
      <w:r>
        <w:rPr>
          <w:rFonts w:hint="eastAsia" w:hAnsi="宋体" w:cs="宋体"/>
          <w:sz w:val="24"/>
          <w:szCs w:val="22"/>
        </w:rPr>
        <w:t>A、挖运土方：挖运土方（土方外运，场内倒运土）及土方施工过程中场地平整、边坡清理修整、修检边、捡底清槽；下柱墩、电梯井、集水坑开挖及配合其他施工的零星挖土；挖填土过程中的各种垫路、坡道的修筑及撤除等工作放坡、修边等（</w:t>
      </w:r>
      <w:r>
        <w:rPr>
          <w:rFonts w:hint="eastAsia" w:hAnsi="宋体" w:cs="宋体"/>
          <w:sz w:val="24"/>
          <w:szCs w:val="22"/>
          <w:u w:val="single"/>
        </w:rPr>
        <w:t>土方开挖包干单价，充分考虑现场施工过程中所遇到的管网情况、可能出现的流沙，土方作业过程中遇到的建筑垃圾、生活垃圾、障碍物等需要破除清运的情况，并保证现场安全文明施工）</w:t>
      </w:r>
      <w:r>
        <w:rPr>
          <w:rFonts w:hint="eastAsia" w:hAnsi="宋体" w:cs="宋体"/>
          <w:sz w:val="24"/>
          <w:szCs w:val="22"/>
        </w:rPr>
        <w:t>。</w:t>
      </w:r>
    </w:p>
    <w:p>
      <w:pPr>
        <w:spacing w:line="400" w:lineRule="exact"/>
        <w:ind w:firstLine="720" w:firstLineChars="300"/>
        <w:rPr>
          <w:rFonts w:hAnsi="宋体" w:cs="宋体"/>
          <w:sz w:val="24"/>
          <w:szCs w:val="22"/>
        </w:rPr>
      </w:pPr>
      <w:r>
        <w:rPr>
          <w:rFonts w:hint="eastAsia" w:hAnsi="宋体" w:cs="宋体"/>
          <w:sz w:val="24"/>
          <w:szCs w:val="22"/>
        </w:rPr>
        <w:t>B、回填土：外购土方回填（含借土场取土费用、购土费用）、原土回填（含必要的场内倒运）、灰土回填（土源由中标人自行考虑并承担费用，白灰由招标人提供，投标人负责按比例拌和均匀）。</w:t>
      </w:r>
    </w:p>
    <w:p>
      <w:pPr>
        <w:spacing w:line="400" w:lineRule="exact"/>
        <w:ind w:firstLine="720" w:firstLineChars="300"/>
        <w:rPr>
          <w:rFonts w:hAnsi="宋体" w:cs="宋体"/>
          <w:sz w:val="24"/>
          <w:szCs w:val="22"/>
          <w:u w:val="single"/>
        </w:rPr>
      </w:pPr>
      <w:r>
        <w:rPr>
          <w:rFonts w:hint="eastAsia" w:hAnsi="宋体" w:cs="宋体"/>
          <w:sz w:val="24"/>
          <w:szCs w:val="22"/>
          <w:u w:val="single"/>
        </w:rPr>
        <w:t>土方回填单价须包括：回填材质及要求综合考虑（需满足设计验收规范、质量验收规范）在投标报价中①压实后所产生的回填材料体积缩小因素；②回填到最后位置前的多次搬运等处理工作；③规定的修平、洒水、分层回填及充分压实；④边沿处及斜坡上的临时挡板，踏步台阶处所需的人工压实；板下、墙后及类似位置上的特殊处理；⑤因保护地下室外墙保温而产生的土方回填降效；⑥包括回填至设计标高的全部工序。</w:t>
      </w:r>
    </w:p>
    <w:p>
      <w:pPr>
        <w:spacing w:line="400" w:lineRule="exact"/>
        <w:ind w:firstLine="723" w:firstLineChars="300"/>
        <w:rPr>
          <w:rFonts w:hAnsi="宋体" w:cs="宋体"/>
          <w:b/>
          <w:bCs/>
          <w:sz w:val="24"/>
          <w:szCs w:val="22"/>
        </w:rPr>
      </w:pPr>
      <w:r>
        <w:rPr>
          <w:rFonts w:hint="eastAsia" w:hAnsi="宋体" w:cs="宋体"/>
          <w:b/>
          <w:bCs/>
          <w:sz w:val="24"/>
          <w:szCs w:val="22"/>
        </w:rPr>
        <w:t>回填时如遇到不合格回填土，不进行计量结算，投标人自行承担处置费用。</w:t>
      </w:r>
    </w:p>
    <w:p>
      <w:pPr>
        <w:spacing w:line="400" w:lineRule="exact"/>
        <w:ind w:firstLine="720" w:firstLineChars="300"/>
        <w:rPr>
          <w:rFonts w:hAnsi="宋体" w:cs="宋体"/>
          <w:sz w:val="24"/>
          <w:szCs w:val="22"/>
        </w:rPr>
      </w:pPr>
      <w:r>
        <w:rPr>
          <w:rFonts w:hint="eastAsia" w:hAnsi="宋体" w:cs="宋体"/>
          <w:sz w:val="24"/>
          <w:szCs w:val="22"/>
        </w:rPr>
        <w:t>C、含地下室外墙保温，土方回填前涉及的所有外保温工作，60mm厚挤塑聚苯板保温，主要材料由招标人提供，施工机械、器具及辅材投标人自行考虑。工程量按图纸及相关规范以实贴面积计算。</w:t>
      </w:r>
    </w:p>
    <w:p>
      <w:pPr>
        <w:spacing w:line="400" w:lineRule="exact"/>
        <w:ind w:firstLine="720" w:firstLineChars="300"/>
        <w:rPr>
          <w:rFonts w:hAnsi="宋体" w:cs="宋体"/>
          <w:sz w:val="24"/>
          <w:szCs w:val="22"/>
        </w:rPr>
      </w:pPr>
      <w:r>
        <w:rPr>
          <w:rFonts w:hint="eastAsia" w:hAnsi="宋体" w:cs="宋体"/>
          <w:sz w:val="24"/>
          <w:szCs w:val="22"/>
        </w:rPr>
        <w:t>D、余方弃置：现场堆土、渣土及余土弃置（含装车、消纳费用）；渣土消纳证由投标人办理，招标人协助，办理费用已含入投标价格中。</w:t>
      </w:r>
    </w:p>
    <w:p>
      <w:pPr>
        <w:spacing w:line="400" w:lineRule="exact"/>
        <w:ind w:firstLine="723" w:firstLineChars="300"/>
        <w:rPr>
          <w:rFonts w:hAnsi="宋体" w:cs="宋体"/>
          <w:b/>
          <w:bCs/>
          <w:sz w:val="24"/>
          <w:szCs w:val="22"/>
          <w:u w:val="single"/>
        </w:rPr>
      </w:pPr>
      <w:r>
        <w:rPr>
          <w:rFonts w:hint="eastAsia" w:hAnsi="宋体" w:cs="宋体"/>
          <w:b/>
          <w:bCs/>
          <w:sz w:val="24"/>
          <w:szCs w:val="22"/>
          <w:u w:val="single"/>
        </w:rPr>
        <w:t>E、土方施工过程中的场内、场外运输距离及弃置点距离自行考虑，包含在报价中。</w:t>
      </w:r>
    </w:p>
    <w:p>
      <w:pPr>
        <w:spacing w:line="400" w:lineRule="exact"/>
        <w:ind w:firstLine="720" w:firstLineChars="300"/>
        <w:rPr>
          <w:rFonts w:hAnsi="宋体" w:cs="宋体"/>
          <w:sz w:val="24"/>
          <w:szCs w:val="22"/>
        </w:rPr>
      </w:pPr>
      <w:r>
        <w:rPr>
          <w:rFonts w:hint="eastAsia" w:hAnsi="宋体" w:cs="宋体"/>
          <w:sz w:val="24"/>
          <w:szCs w:val="22"/>
        </w:rPr>
        <w:t>（4</w:t>
      </w:r>
      <w:r>
        <w:rPr>
          <w:rFonts w:hAnsi="宋体" w:cs="宋体"/>
          <w:sz w:val="24"/>
          <w:szCs w:val="22"/>
        </w:rPr>
        <w:t>）</w:t>
      </w:r>
      <w:r>
        <w:rPr>
          <w:rFonts w:hint="eastAsia" w:hAnsi="宋体" w:cs="宋体"/>
          <w:sz w:val="24"/>
          <w:szCs w:val="22"/>
        </w:rPr>
        <w:t>安全文明及环保施工费用；</w:t>
      </w:r>
    </w:p>
    <w:p>
      <w:pPr>
        <w:spacing w:line="400" w:lineRule="exact"/>
        <w:ind w:firstLine="720" w:firstLineChars="300"/>
        <w:rPr>
          <w:rFonts w:hAnsi="宋体" w:cs="宋体"/>
          <w:sz w:val="24"/>
          <w:szCs w:val="22"/>
        </w:rPr>
      </w:pPr>
      <w:r>
        <w:rPr>
          <w:rFonts w:hint="eastAsia" w:hAnsi="宋体" w:cs="宋体"/>
          <w:sz w:val="24"/>
          <w:szCs w:val="22"/>
        </w:rPr>
        <w:t xml:space="preserve">①投标人负责承包范围内、通行道路上及现场出入口100米范围的清理、打扫、洒水及施工现场的扬尘治理（水管、水龙带、洒水车及雾炮机等全部相关物品由投标人自行提供），总之一切与土方工程文明施工有关的内容均包含在承包范围内。 </w:t>
      </w:r>
    </w:p>
    <w:p>
      <w:pPr>
        <w:spacing w:line="400" w:lineRule="exact"/>
        <w:ind w:firstLine="720" w:firstLineChars="300"/>
        <w:rPr>
          <w:rFonts w:hAnsi="宋体" w:cs="宋体"/>
          <w:sz w:val="24"/>
          <w:szCs w:val="22"/>
        </w:rPr>
      </w:pPr>
      <w:r>
        <w:rPr>
          <w:rFonts w:hint="eastAsia" w:hAnsi="宋体" w:cs="宋体"/>
          <w:sz w:val="24"/>
          <w:szCs w:val="22"/>
        </w:rPr>
        <w:t>②土方开挖期间，场区内所有的卫生清理、保洁、洒水、降尘等其他一切安全文明施工扬尘治理相关工作，现场达到河北省安全文明工地及全国“建设工程项目施工安全生产标准化工地”要求。</w:t>
      </w:r>
    </w:p>
    <w:p>
      <w:pPr>
        <w:spacing w:line="400" w:lineRule="exact"/>
        <w:ind w:firstLine="720" w:firstLineChars="300"/>
        <w:rPr>
          <w:rFonts w:hAnsi="宋体" w:cs="宋体"/>
          <w:sz w:val="24"/>
          <w:szCs w:val="22"/>
        </w:rPr>
      </w:pPr>
      <w:r>
        <w:rPr>
          <w:rFonts w:hint="eastAsia" w:hAnsi="宋体" w:cs="宋体"/>
          <w:sz w:val="24"/>
          <w:szCs w:val="22"/>
        </w:rPr>
        <w:t>③土方开挖过程中，投标人保证将施工现场及场外运输道路扬尘治理措施做到位，与有关部门协调到位，若因扬尘措施不到位被有关部门处罚，则由中标人全部承担。</w:t>
      </w:r>
    </w:p>
    <w:p>
      <w:pPr>
        <w:spacing w:line="400" w:lineRule="exact"/>
        <w:ind w:firstLine="480" w:firstLineChars="200"/>
        <w:rPr>
          <w:rFonts w:hAnsi="宋体" w:cs="宋体"/>
          <w:sz w:val="24"/>
          <w:szCs w:val="22"/>
        </w:rPr>
      </w:pPr>
      <w:r>
        <w:rPr>
          <w:rFonts w:hint="eastAsia" w:hAnsi="宋体" w:cs="宋体"/>
          <w:sz w:val="24"/>
          <w:szCs w:val="22"/>
        </w:rPr>
        <w:t>（5）自然气候、扬尘治理、政府会议、检查、不可抗力等影响以及相关部门应急管控造成停、窝工的费用。</w:t>
      </w:r>
    </w:p>
    <w:p>
      <w:pPr>
        <w:tabs>
          <w:tab w:val="center" w:pos="4592"/>
        </w:tabs>
        <w:spacing w:line="400" w:lineRule="exact"/>
        <w:ind w:firstLine="480" w:firstLineChars="200"/>
        <w:rPr>
          <w:rFonts w:hAnsi="宋体" w:cs="宋体"/>
          <w:sz w:val="24"/>
          <w:szCs w:val="22"/>
        </w:rPr>
      </w:pPr>
      <w:r>
        <w:rPr>
          <w:rFonts w:hint="eastAsia" w:hAnsi="宋体" w:cs="宋体"/>
          <w:sz w:val="24"/>
          <w:szCs w:val="22"/>
        </w:rPr>
        <w:t>针对2020年初以来爆发的新型冠状病毒肺炎疫情，充分考虑安全卫生措施、施工保障措施的费用增加，并综合考虑因疫情可能导致的用工、材料价格波动的风险，综合考虑停工、复工或有条件复工、核酸检测、隔离等带来的费用。</w:t>
      </w:r>
    </w:p>
    <w:p>
      <w:pPr>
        <w:spacing w:line="400" w:lineRule="exact"/>
        <w:ind w:firstLine="480" w:firstLineChars="200"/>
        <w:jc w:val="left"/>
        <w:rPr>
          <w:rFonts w:hAnsi="宋体" w:cs="宋体"/>
          <w:sz w:val="24"/>
          <w:szCs w:val="22"/>
        </w:rPr>
      </w:pPr>
      <w:r>
        <w:rPr>
          <w:rFonts w:hint="eastAsia" w:hAnsi="宋体" w:cs="宋体"/>
          <w:sz w:val="24"/>
          <w:szCs w:val="22"/>
        </w:rPr>
        <w:t>（6）开挖过程中，如遇古墓、物等应采取保护措施，招标人要求留下的东西放到指定位置；如遇有价值其他物品，必须及时上报招标人由招标人进行处理；其他地下基础、钢筋、路面等均须破拆后运出场外，此部分包含在开挖范围内，按规定计算工程量，不增加任何费用；</w:t>
      </w:r>
    </w:p>
    <w:p>
      <w:pPr>
        <w:tabs>
          <w:tab w:val="center" w:pos="4592"/>
        </w:tabs>
        <w:spacing w:line="400" w:lineRule="exact"/>
        <w:ind w:firstLine="480" w:firstLineChars="200"/>
        <w:rPr>
          <w:rFonts w:hAnsi="宋体" w:cs="宋体"/>
          <w:sz w:val="24"/>
          <w:szCs w:val="22"/>
        </w:rPr>
      </w:pPr>
      <w:r>
        <w:rPr>
          <w:rFonts w:hint="eastAsia" w:hAnsi="宋体" w:cs="宋体"/>
          <w:sz w:val="24"/>
          <w:szCs w:val="22"/>
        </w:rPr>
        <w:t>（7）不可避免的工程间隙时间；必须满足招标人要求的开挖方案及现场指令进行分层开挖，不得私自开挖。</w:t>
      </w:r>
    </w:p>
    <w:p>
      <w:pPr>
        <w:spacing w:line="400" w:lineRule="exact"/>
        <w:ind w:firstLine="480" w:firstLineChars="200"/>
        <w:rPr>
          <w:rFonts w:hAnsi="宋体" w:cs="宋体"/>
          <w:sz w:val="24"/>
          <w:szCs w:val="22"/>
        </w:rPr>
      </w:pPr>
      <w:r>
        <w:rPr>
          <w:rFonts w:hint="eastAsia" w:hAnsi="宋体" w:cs="宋体"/>
          <w:sz w:val="24"/>
          <w:szCs w:val="22"/>
        </w:rPr>
        <w:t>（8）相关风险投标人应在投标报价中予以考虑，风险包括且不限于：成品保护、非重大施工条件的变化引起的如停工、扰民及民扰、交通事故等。投标人中标后，现场施工时与当地居民、施工机械所有者和其他社会外界因素发生的一切纠纷由投标人自行解决。</w:t>
      </w:r>
    </w:p>
    <w:p>
      <w:pPr>
        <w:spacing w:line="400" w:lineRule="exact"/>
        <w:ind w:firstLine="480" w:firstLineChars="200"/>
        <w:rPr>
          <w:rFonts w:hAnsi="宋体" w:cs="宋体"/>
          <w:sz w:val="24"/>
          <w:szCs w:val="22"/>
        </w:rPr>
      </w:pPr>
      <w:r>
        <w:rPr>
          <w:rFonts w:hint="eastAsia" w:hAnsi="宋体" w:cs="宋体"/>
          <w:sz w:val="24"/>
          <w:szCs w:val="22"/>
        </w:rPr>
        <w:t>（9）回填土沉降引起的工程费用的变化（包括沉降导致相关工程结构破坏后的修复、回填等），由投标人在相关清单项目的单价中综合考虑，招标人不另行支付。</w:t>
      </w:r>
    </w:p>
    <w:p>
      <w:pPr>
        <w:spacing w:line="400" w:lineRule="exact"/>
        <w:ind w:firstLine="480" w:firstLineChars="200"/>
        <w:jc w:val="left"/>
        <w:rPr>
          <w:rFonts w:hAnsi="宋体" w:cs="宋体"/>
          <w:sz w:val="24"/>
          <w:szCs w:val="22"/>
        </w:rPr>
      </w:pPr>
      <w:r>
        <w:rPr>
          <w:rFonts w:hint="eastAsia" w:hAnsi="宋体" w:cs="宋体"/>
          <w:sz w:val="24"/>
          <w:szCs w:val="22"/>
        </w:rPr>
        <w:t>（</w:t>
      </w:r>
      <w:r>
        <w:rPr>
          <w:rFonts w:hAnsi="宋体" w:cs="宋体"/>
          <w:sz w:val="24"/>
          <w:szCs w:val="22"/>
        </w:rPr>
        <w:t>10</w:t>
      </w:r>
      <w:r>
        <w:rPr>
          <w:rFonts w:hint="eastAsia" w:hAnsi="宋体" w:cs="宋体"/>
          <w:sz w:val="24"/>
          <w:szCs w:val="22"/>
        </w:rPr>
        <w:t>）如果雄安新区政府、雄安集团在土方、建筑垃圾管控方面有特殊管理的要求（例如要求存至指定场所或从指定场地取土），因发生土方、建筑垃圾等收费情况，相关费用由中标人承担，不另行计取费用，并且中标人有义务将雄安新区政府、雄安集团收费凭证据实提供给发包人（如由此造成发包人的损失，有中标人承担）。</w:t>
      </w:r>
    </w:p>
    <w:p>
      <w:pPr>
        <w:spacing w:line="400" w:lineRule="exact"/>
        <w:ind w:firstLine="482" w:firstLineChars="200"/>
        <w:jc w:val="left"/>
        <w:rPr>
          <w:rFonts w:hAnsi="宋体" w:cs="宋体"/>
          <w:b/>
          <w:bCs/>
          <w:sz w:val="24"/>
          <w:szCs w:val="22"/>
        </w:rPr>
      </w:pPr>
      <w:r>
        <w:rPr>
          <w:rFonts w:hint="eastAsia" w:hAnsi="宋体" w:cs="宋体"/>
          <w:b/>
          <w:bCs/>
          <w:sz w:val="24"/>
          <w:szCs w:val="22"/>
        </w:rPr>
        <w:t>以上内容还需满足《附件一：土方施工相关要求》</w:t>
      </w:r>
    </w:p>
    <w:p>
      <w:pPr>
        <w:pStyle w:val="2"/>
        <w:ind w:firstLine="480"/>
        <w:rPr>
          <w:rFonts w:hAnsi="宋体" w:cs="宋体"/>
          <w:spacing w:val="0"/>
          <w:szCs w:val="22"/>
          <w:u w:val="single"/>
        </w:rPr>
      </w:pPr>
      <w:r>
        <w:rPr>
          <w:rFonts w:hAnsi="宋体" w:cs="宋体"/>
          <w:spacing w:val="0"/>
          <w:szCs w:val="22"/>
          <w:u w:val="single"/>
        </w:rPr>
        <w:br w:type="page"/>
      </w:r>
    </w:p>
    <w:p>
      <w:pPr>
        <w:widowControl/>
        <w:jc w:val="left"/>
        <w:rPr>
          <w:rFonts w:hAnsi="宋体" w:cs="宋体"/>
          <w:b/>
          <w:sz w:val="44"/>
          <w:szCs w:val="44"/>
        </w:rPr>
      </w:pPr>
    </w:p>
    <w:p>
      <w:pPr>
        <w:wordWrap w:val="0"/>
        <w:jc w:val="center"/>
        <w:rPr>
          <w:rFonts w:hAnsi="宋体" w:cs="宋体"/>
          <w:b/>
          <w:bCs/>
          <w:sz w:val="30"/>
          <w:szCs w:val="22"/>
        </w:rPr>
      </w:pPr>
      <w:r>
        <w:rPr>
          <w:rFonts w:hint="eastAsia" w:hAnsi="宋体" w:cs="宋体"/>
          <w:b/>
          <w:bCs/>
          <w:sz w:val="30"/>
          <w:szCs w:val="22"/>
        </w:rPr>
        <w:t>容东片区C组团安置房及配套设施项目</w:t>
      </w:r>
    </w:p>
    <w:p>
      <w:pPr>
        <w:spacing w:afterLines="100" w:line="276" w:lineRule="auto"/>
        <w:jc w:val="center"/>
        <w:rPr>
          <w:rFonts w:hAnsi="宋体" w:cs="宋体"/>
          <w:b/>
          <w:bCs/>
          <w:sz w:val="30"/>
        </w:rPr>
      </w:pPr>
      <w:r>
        <w:rPr>
          <w:rFonts w:hint="eastAsia" w:hAnsi="宋体" w:cs="宋体"/>
          <w:b/>
          <w:bCs/>
          <w:sz w:val="30"/>
        </w:rPr>
        <w:t>土方工程报价表</w:t>
      </w:r>
    </w:p>
    <w:p>
      <w:pPr>
        <w:jc w:val="left"/>
        <w:rPr>
          <w:rFonts w:hAnsi="宋体" w:cs="宋体"/>
          <w:b/>
          <w:bCs/>
          <w:sz w:val="21"/>
          <w:szCs w:val="21"/>
          <w:u w:val="single"/>
        </w:rPr>
      </w:pPr>
      <w:r>
        <w:rPr>
          <w:rFonts w:hint="eastAsia" w:hAnsi="宋体" w:cs="宋体"/>
          <w:b/>
          <w:bCs/>
          <w:sz w:val="21"/>
          <w:szCs w:val="21"/>
        </w:rPr>
        <w:t>投标单位名称（盖章）：</w:t>
      </w:r>
      <w:r>
        <w:rPr>
          <w:rFonts w:hAnsi="宋体" w:cs="宋体"/>
          <w:b/>
          <w:bCs/>
          <w:sz w:val="21"/>
          <w:szCs w:val="21"/>
          <w:u w:val="single"/>
        </w:rPr>
        <w:t>.</w:t>
      </w:r>
    </w:p>
    <w:tbl>
      <w:tblPr>
        <w:tblStyle w:val="35"/>
        <w:tblW w:w="10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310"/>
        <w:gridCol w:w="572"/>
        <w:gridCol w:w="1020"/>
        <w:gridCol w:w="1075"/>
        <w:gridCol w:w="1349"/>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序号</w:t>
            </w:r>
          </w:p>
        </w:tc>
        <w:tc>
          <w:tcPr>
            <w:tcW w:w="1310" w:type="dxa"/>
            <w:noWrap/>
            <w:vAlign w:val="center"/>
          </w:tcPr>
          <w:p>
            <w:pPr>
              <w:jc w:val="center"/>
              <w:rPr>
                <w:rFonts w:ascii="楷体" w:hAnsi="楷体" w:eastAsia="楷体" w:cs="楷体"/>
                <w:sz w:val="24"/>
                <w:szCs w:val="24"/>
              </w:rPr>
            </w:pPr>
            <w:r>
              <w:rPr>
                <w:rFonts w:hint="eastAsia" w:ascii="楷体" w:hAnsi="楷体" w:eastAsia="楷体" w:cs="楷体"/>
                <w:sz w:val="24"/>
                <w:szCs w:val="24"/>
              </w:rPr>
              <w:t>项目名称</w:t>
            </w:r>
          </w:p>
        </w:tc>
        <w:tc>
          <w:tcPr>
            <w:tcW w:w="572" w:type="dxa"/>
            <w:noWrap/>
            <w:vAlign w:val="center"/>
          </w:tcPr>
          <w:p>
            <w:pPr>
              <w:jc w:val="center"/>
              <w:rPr>
                <w:rFonts w:ascii="楷体" w:hAnsi="楷体" w:eastAsia="楷体" w:cs="楷体"/>
                <w:sz w:val="24"/>
                <w:szCs w:val="24"/>
              </w:rPr>
            </w:pPr>
            <w:r>
              <w:rPr>
                <w:rFonts w:hint="eastAsia" w:ascii="楷体" w:hAnsi="楷体" w:eastAsia="楷体" w:cs="楷体"/>
                <w:sz w:val="24"/>
                <w:szCs w:val="24"/>
              </w:rPr>
              <w:t>单位</w:t>
            </w:r>
          </w:p>
        </w:tc>
        <w:tc>
          <w:tcPr>
            <w:tcW w:w="1020" w:type="dxa"/>
            <w:noWrap/>
            <w:vAlign w:val="center"/>
          </w:tcPr>
          <w:p>
            <w:pPr>
              <w:jc w:val="center"/>
              <w:rPr>
                <w:rFonts w:ascii="楷体" w:hAnsi="楷体" w:eastAsia="楷体" w:cs="楷体"/>
                <w:sz w:val="24"/>
                <w:szCs w:val="24"/>
              </w:rPr>
            </w:pPr>
            <w:r>
              <w:rPr>
                <w:rFonts w:hint="eastAsia" w:ascii="楷体" w:hAnsi="楷体" w:eastAsia="楷体" w:cs="楷体"/>
                <w:sz w:val="24"/>
                <w:szCs w:val="24"/>
              </w:rPr>
              <w:t>暂估数量</w:t>
            </w:r>
          </w:p>
        </w:tc>
        <w:tc>
          <w:tcPr>
            <w:tcW w:w="1075" w:type="dxa"/>
            <w:noWrap/>
            <w:vAlign w:val="center"/>
          </w:tcPr>
          <w:p>
            <w:pPr>
              <w:jc w:val="center"/>
              <w:rPr>
                <w:rFonts w:ascii="楷体" w:hAnsi="楷体" w:eastAsia="楷体" w:cs="楷体"/>
                <w:sz w:val="24"/>
                <w:szCs w:val="24"/>
              </w:rPr>
            </w:pPr>
            <w:r>
              <w:rPr>
                <w:rFonts w:hint="eastAsia" w:ascii="楷体" w:hAnsi="楷体" w:eastAsia="楷体" w:cs="楷体"/>
                <w:sz w:val="24"/>
                <w:szCs w:val="24"/>
              </w:rPr>
              <w:t>综合单价（元）</w:t>
            </w:r>
          </w:p>
        </w:tc>
        <w:tc>
          <w:tcPr>
            <w:tcW w:w="1349" w:type="dxa"/>
            <w:noWrap/>
            <w:vAlign w:val="center"/>
          </w:tcPr>
          <w:p>
            <w:pPr>
              <w:jc w:val="center"/>
              <w:rPr>
                <w:rFonts w:ascii="楷体" w:hAnsi="楷体" w:eastAsia="楷体" w:cs="楷体"/>
                <w:sz w:val="24"/>
                <w:szCs w:val="24"/>
              </w:rPr>
            </w:pPr>
            <w:r>
              <w:rPr>
                <w:rFonts w:hint="eastAsia" w:ascii="楷体" w:hAnsi="楷体" w:eastAsia="楷体" w:cs="楷体"/>
                <w:sz w:val="24"/>
                <w:szCs w:val="24"/>
              </w:rPr>
              <w:t>合计</w:t>
            </w:r>
          </w:p>
          <w:p>
            <w:pPr>
              <w:jc w:val="center"/>
              <w:rPr>
                <w:rFonts w:ascii="楷体" w:hAnsi="楷体" w:eastAsia="楷体" w:cs="楷体"/>
                <w:sz w:val="24"/>
                <w:szCs w:val="24"/>
              </w:rPr>
            </w:pPr>
            <w:r>
              <w:rPr>
                <w:rFonts w:hint="eastAsia" w:ascii="楷体" w:hAnsi="楷体" w:eastAsia="楷体" w:cs="楷体"/>
                <w:sz w:val="24"/>
                <w:szCs w:val="24"/>
              </w:rPr>
              <w:t>（元）</w:t>
            </w:r>
          </w:p>
        </w:tc>
        <w:tc>
          <w:tcPr>
            <w:tcW w:w="4590" w:type="dxa"/>
            <w:noWrap/>
            <w:vAlign w:val="center"/>
          </w:tcPr>
          <w:p>
            <w:pPr>
              <w:jc w:val="center"/>
              <w:rPr>
                <w:rFonts w:ascii="楷体" w:hAnsi="楷体" w:eastAsia="楷体" w:cs="楷体"/>
                <w:sz w:val="24"/>
                <w:szCs w:val="24"/>
              </w:rPr>
            </w:pPr>
            <w:r>
              <w:rPr>
                <w:rFonts w:hint="eastAsia" w:ascii="楷体" w:hAnsi="楷体" w:eastAsia="楷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1</w:t>
            </w:r>
          </w:p>
        </w:tc>
        <w:tc>
          <w:tcPr>
            <w:tcW w:w="1310" w:type="dxa"/>
            <w:noWrap/>
            <w:vAlign w:val="center"/>
          </w:tcPr>
          <w:p>
            <w:pPr>
              <w:pStyle w:val="33"/>
              <w:spacing w:before="0" w:beforeAutospacing="0" w:after="0" w:afterAutospacing="0"/>
              <w:rPr>
                <w:rFonts w:ascii="楷体" w:hAnsi="楷体" w:eastAsia="楷体" w:cs="楷体"/>
              </w:rPr>
            </w:pPr>
            <w:r>
              <w:rPr>
                <w:rFonts w:hint="eastAsia" w:ascii="楷体" w:hAnsi="楷体" w:eastAsia="楷体" w:cs="楷体"/>
              </w:rPr>
              <w:t>开挖及场内倒运</w:t>
            </w:r>
          </w:p>
        </w:tc>
        <w:tc>
          <w:tcPr>
            <w:tcW w:w="572"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M3</w:t>
            </w:r>
          </w:p>
        </w:tc>
        <w:tc>
          <w:tcPr>
            <w:tcW w:w="1020" w:type="dxa"/>
            <w:noWrap/>
            <w:vAlign w:val="center"/>
          </w:tcPr>
          <w:p>
            <w:pPr>
              <w:pStyle w:val="33"/>
              <w:spacing w:before="0" w:beforeAutospacing="0" w:after="0" w:afterAutospacing="0"/>
              <w:jc w:val="center"/>
              <w:rPr>
                <w:rFonts w:ascii="楷体" w:hAnsi="楷体" w:eastAsia="楷体" w:cs="楷体"/>
              </w:rPr>
            </w:pPr>
            <w:r>
              <w:rPr>
                <w:rFonts w:ascii="楷体" w:hAnsi="楷体" w:eastAsia="楷体" w:cs="楷体"/>
              </w:rPr>
              <w:t>50</w:t>
            </w:r>
            <w:r>
              <w:rPr>
                <w:rFonts w:hint="eastAsia" w:ascii="楷体" w:hAnsi="楷体" w:eastAsia="楷体" w:cs="楷体"/>
              </w:rPr>
              <w:t>00</w:t>
            </w:r>
          </w:p>
        </w:tc>
        <w:tc>
          <w:tcPr>
            <w:tcW w:w="1075" w:type="dxa"/>
            <w:noWrap/>
            <w:vAlign w:val="center"/>
          </w:tcPr>
          <w:p>
            <w:pPr>
              <w:jc w:val="center"/>
              <w:rPr>
                <w:rFonts w:ascii="楷体" w:hAnsi="楷体" w:eastAsia="楷体" w:cs="楷体"/>
                <w:sz w:val="24"/>
                <w:szCs w:val="24"/>
              </w:rPr>
            </w:pPr>
          </w:p>
        </w:tc>
        <w:tc>
          <w:tcPr>
            <w:tcW w:w="1349" w:type="dxa"/>
            <w:noWrap/>
            <w:vAlign w:val="center"/>
          </w:tcPr>
          <w:p>
            <w:pPr>
              <w:jc w:val="center"/>
              <w:rPr>
                <w:rFonts w:ascii="楷体" w:hAnsi="楷体" w:eastAsia="楷体" w:cs="楷体"/>
                <w:sz w:val="24"/>
                <w:szCs w:val="24"/>
              </w:rPr>
            </w:pPr>
          </w:p>
        </w:tc>
        <w:tc>
          <w:tcPr>
            <w:tcW w:w="4590" w:type="dxa"/>
            <w:noWrap/>
            <w:vAlign w:val="center"/>
          </w:tcPr>
          <w:p>
            <w:pPr>
              <w:pStyle w:val="33"/>
              <w:spacing w:before="0" w:beforeAutospacing="0" w:after="0" w:afterAutospacing="0" w:line="240" w:lineRule="exact"/>
              <w:rPr>
                <w:rFonts w:ascii="楷体" w:hAnsi="楷体" w:eastAsia="楷体" w:cs="楷体"/>
              </w:rPr>
            </w:pPr>
            <w:r>
              <w:rPr>
                <w:rFonts w:hint="eastAsia" w:ascii="楷体" w:hAnsi="楷体" w:eastAsia="楷体" w:cs="楷体"/>
              </w:rPr>
              <w:t>土方开挖、修检边、捡底、清槽、零星挖土、装车等费用，堆放至场内指定位置。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2</w:t>
            </w:r>
          </w:p>
        </w:tc>
        <w:tc>
          <w:tcPr>
            <w:tcW w:w="1310" w:type="dxa"/>
            <w:noWrap/>
            <w:vAlign w:val="center"/>
          </w:tcPr>
          <w:p>
            <w:pPr>
              <w:pStyle w:val="33"/>
              <w:spacing w:before="0" w:beforeAutospacing="0" w:after="0" w:afterAutospacing="0"/>
              <w:rPr>
                <w:rFonts w:ascii="楷体" w:hAnsi="楷体" w:eastAsia="楷体" w:cs="楷体"/>
              </w:rPr>
            </w:pPr>
            <w:r>
              <w:rPr>
                <w:rFonts w:hint="eastAsia" w:ascii="楷体" w:hAnsi="楷体" w:eastAsia="楷体" w:cs="楷体"/>
              </w:rPr>
              <w:t>开挖及外运</w:t>
            </w:r>
          </w:p>
        </w:tc>
        <w:tc>
          <w:tcPr>
            <w:tcW w:w="572"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M3</w:t>
            </w:r>
          </w:p>
        </w:tc>
        <w:tc>
          <w:tcPr>
            <w:tcW w:w="1020"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10000</w:t>
            </w:r>
          </w:p>
        </w:tc>
        <w:tc>
          <w:tcPr>
            <w:tcW w:w="1075" w:type="dxa"/>
            <w:noWrap/>
            <w:vAlign w:val="center"/>
          </w:tcPr>
          <w:p>
            <w:pPr>
              <w:jc w:val="center"/>
              <w:rPr>
                <w:rFonts w:ascii="楷体" w:hAnsi="楷体" w:eastAsia="楷体" w:cs="楷体"/>
                <w:sz w:val="24"/>
                <w:szCs w:val="24"/>
              </w:rPr>
            </w:pPr>
          </w:p>
        </w:tc>
        <w:tc>
          <w:tcPr>
            <w:tcW w:w="1349" w:type="dxa"/>
            <w:noWrap/>
            <w:vAlign w:val="center"/>
          </w:tcPr>
          <w:p>
            <w:pPr>
              <w:jc w:val="center"/>
              <w:rPr>
                <w:rFonts w:ascii="楷体" w:hAnsi="楷体" w:eastAsia="楷体" w:cs="楷体"/>
                <w:sz w:val="24"/>
                <w:szCs w:val="24"/>
              </w:rPr>
            </w:pPr>
          </w:p>
        </w:tc>
        <w:tc>
          <w:tcPr>
            <w:tcW w:w="4590" w:type="dxa"/>
            <w:noWrap/>
            <w:vAlign w:val="center"/>
          </w:tcPr>
          <w:p>
            <w:pPr>
              <w:pStyle w:val="33"/>
              <w:spacing w:before="0" w:beforeAutospacing="0" w:after="0" w:afterAutospacing="0" w:line="240" w:lineRule="exact"/>
              <w:rPr>
                <w:rFonts w:ascii="楷体" w:hAnsi="楷体" w:eastAsia="楷体" w:cs="楷体"/>
              </w:rPr>
            </w:pPr>
            <w:r>
              <w:rPr>
                <w:rFonts w:hint="eastAsia" w:ascii="楷体" w:hAnsi="楷体" w:eastAsia="楷体" w:cs="楷体"/>
              </w:rPr>
              <w:t>土方开挖、修检边、捡底、清槽、零星挖土、必要的倒运、装车、外运等费用，运距自行考虑。包含渣土消纳费。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3</w:t>
            </w:r>
          </w:p>
        </w:tc>
        <w:tc>
          <w:tcPr>
            <w:tcW w:w="1310" w:type="dxa"/>
            <w:noWrap/>
            <w:vAlign w:val="center"/>
          </w:tcPr>
          <w:p>
            <w:pPr>
              <w:pStyle w:val="33"/>
              <w:spacing w:before="0" w:beforeAutospacing="0" w:after="0" w:afterAutospacing="0"/>
              <w:rPr>
                <w:rFonts w:ascii="楷体" w:hAnsi="楷体" w:eastAsia="楷体" w:cs="楷体"/>
              </w:rPr>
            </w:pPr>
            <w:r>
              <w:rPr>
                <w:rFonts w:hint="eastAsia" w:ascii="楷体" w:hAnsi="楷体" w:eastAsia="楷体" w:cs="楷体"/>
              </w:rPr>
              <w:t>余方弃置</w:t>
            </w:r>
          </w:p>
        </w:tc>
        <w:tc>
          <w:tcPr>
            <w:tcW w:w="572"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M3</w:t>
            </w:r>
          </w:p>
        </w:tc>
        <w:tc>
          <w:tcPr>
            <w:tcW w:w="1020" w:type="dxa"/>
            <w:noWrap/>
            <w:vAlign w:val="center"/>
          </w:tcPr>
          <w:p>
            <w:pPr>
              <w:pStyle w:val="33"/>
              <w:spacing w:before="0" w:beforeAutospacing="0" w:after="0" w:afterAutospacing="0"/>
              <w:jc w:val="center"/>
              <w:rPr>
                <w:rFonts w:ascii="楷体" w:hAnsi="楷体" w:eastAsia="楷体" w:cs="楷体"/>
              </w:rPr>
            </w:pPr>
            <w:r>
              <w:rPr>
                <w:rFonts w:ascii="楷体" w:hAnsi="楷体" w:eastAsia="楷体" w:cs="楷体"/>
              </w:rPr>
              <w:t>3000</w:t>
            </w:r>
          </w:p>
        </w:tc>
        <w:tc>
          <w:tcPr>
            <w:tcW w:w="1075" w:type="dxa"/>
            <w:noWrap/>
            <w:vAlign w:val="center"/>
          </w:tcPr>
          <w:p>
            <w:pPr>
              <w:jc w:val="center"/>
              <w:rPr>
                <w:rFonts w:ascii="楷体" w:hAnsi="楷体" w:eastAsia="楷体" w:cs="楷体"/>
                <w:sz w:val="24"/>
                <w:szCs w:val="24"/>
              </w:rPr>
            </w:pPr>
          </w:p>
        </w:tc>
        <w:tc>
          <w:tcPr>
            <w:tcW w:w="1349" w:type="dxa"/>
            <w:noWrap/>
            <w:vAlign w:val="center"/>
          </w:tcPr>
          <w:p>
            <w:pPr>
              <w:jc w:val="center"/>
              <w:rPr>
                <w:rFonts w:ascii="楷体" w:hAnsi="楷体" w:eastAsia="楷体" w:cs="楷体"/>
                <w:sz w:val="24"/>
                <w:szCs w:val="24"/>
              </w:rPr>
            </w:pPr>
          </w:p>
        </w:tc>
        <w:tc>
          <w:tcPr>
            <w:tcW w:w="4590" w:type="dxa"/>
            <w:noWrap/>
            <w:vAlign w:val="center"/>
          </w:tcPr>
          <w:p>
            <w:pPr>
              <w:pStyle w:val="33"/>
              <w:spacing w:before="0" w:beforeAutospacing="0" w:after="0" w:afterAutospacing="0" w:line="240" w:lineRule="exact"/>
              <w:rPr>
                <w:rFonts w:ascii="楷体" w:hAnsi="楷体" w:eastAsia="楷体" w:cs="楷体"/>
              </w:rPr>
            </w:pPr>
            <w:r>
              <w:rPr>
                <w:rFonts w:hint="eastAsia" w:ascii="楷体" w:hAnsi="楷体" w:eastAsia="楷体" w:cs="楷体"/>
              </w:rPr>
              <w:t>装车、场外运距及堆场由投标人自行综合考虑在报价中。包含渣土消纳费。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exac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4</w:t>
            </w:r>
          </w:p>
        </w:tc>
        <w:tc>
          <w:tcPr>
            <w:tcW w:w="1310" w:type="dxa"/>
            <w:noWrap/>
            <w:vAlign w:val="center"/>
          </w:tcPr>
          <w:p>
            <w:pPr>
              <w:pStyle w:val="33"/>
              <w:spacing w:before="0" w:beforeAutospacing="0" w:after="0" w:afterAutospacing="0"/>
              <w:rPr>
                <w:rFonts w:ascii="楷体" w:hAnsi="楷体" w:eastAsia="楷体" w:cs="楷体"/>
              </w:rPr>
            </w:pPr>
            <w:r>
              <w:rPr>
                <w:rFonts w:hint="eastAsia" w:ascii="楷体" w:hAnsi="楷体" w:eastAsia="楷体" w:cs="楷体"/>
              </w:rPr>
              <w:t>土方回填</w:t>
            </w:r>
          </w:p>
        </w:tc>
        <w:tc>
          <w:tcPr>
            <w:tcW w:w="572"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M3</w:t>
            </w:r>
          </w:p>
        </w:tc>
        <w:tc>
          <w:tcPr>
            <w:tcW w:w="1020" w:type="dxa"/>
            <w:noWrap/>
            <w:vAlign w:val="center"/>
          </w:tcPr>
          <w:p>
            <w:pPr>
              <w:pStyle w:val="33"/>
              <w:spacing w:before="0" w:beforeAutospacing="0" w:after="0" w:afterAutospacing="0"/>
              <w:jc w:val="center"/>
              <w:rPr>
                <w:rFonts w:ascii="楷体" w:hAnsi="楷体" w:eastAsia="楷体" w:cs="楷体"/>
              </w:rPr>
            </w:pPr>
            <w:r>
              <w:rPr>
                <w:rFonts w:ascii="楷体" w:hAnsi="楷体" w:eastAsia="楷体" w:cs="楷体"/>
              </w:rPr>
              <w:t>2300</w:t>
            </w:r>
            <w:r>
              <w:rPr>
                <w:rFonts w:hint="eastAsia" w:ascii="楷体" w:hAnsi="楷体" w:eastAsia="楷体" w:cs="楷体"/>
              </w:rPr>
              <w:t>00</w:t>
            </w:r>
          </w:p>
        </w:tc>
        <w:tc>
          <w:tcPr>
            <w:tcW w:w="1075" w:type="dxa"/>
            <w:noWrap/>
            <w:vAlign w:val="center"/>
          </w:tcPr>
          <w:p>
            <w:pPr>
              <w:jc w:val="center"/>
              <w:rPr>
                <w:rFonts w:ascii="楷体" w:hAnsi="楷体" w:eastAsia="楷体" w:cs="楷体"/>
                <w:sz w:val="24"/>
                <w:szCs w:val="24"/>
              </w:rPr>
            </w:pPr>
          </w:p>
        </w:tc>
        <w:tc>
          <w:tcPr>
            <w:tcW w:w="1349" w:type="dxa"/>
            <w:noWrap/>
            <w:vAlign w:val="center"/>
          </w:tcPr>
          <w:p>
            <w:pPr>
              <w:jc w:val="center"/>
              <w:rPr>
                <w:rFonts w:ascii="楷体" w:hAnsi="楷体" w:eastAsia="楷体" w:cs="楷体"/>
                <w:sz w:val="24"/>
                <w:szCs w:val="24"/>
              </w:rPr>
            </w:pPr>
          </w:p>
        </w:tc>
        <w:tc>
          <w:tcPr>
            <w:tcW w:w="4590" w:type="dxa"/>
            <w:noWrap/>
            <w:vAlign w:val="center"/>
          </w:tcPr>
          <w:p>
            <w:pPr>
              <w:pStyle w:val="33"/>
              <w:numPr>
                <w:ilvl w:val="0"/>
                <w:numId w:val="5"/>
              </w:numPr>
              <w:spacing w:before="0" w:beforeAutospacing="0" w:after="0" w:afterAutospacing="0" w:line="240" w:lineRule="exact"/>
              <w:rPr>
                <w:rFonts w:ascii="楷体" w:hAnsi="楷体" w:eastAsia="楷体" w:cs="楷体"/>
              </w:rPr>
            </w:pPr>
            <w:r>
              <w:rPr>
                <w:rFonts w:hint="eastAsia" w:ascii="楷体" w:hAnsi="楷体" w:eastAsia="楷体" w:cs="楷体"/>
              </w:rPr>
              <w:t>回填部位详设计(含房心回填)，包括装车、运输、回填、摊铺、分层夯实、压实、堆坡造型等</w:t>
            </w:r>
          </w:p>
          <w:p>
            <w:pPr>
              <w:pStyle w:val="33"/>
              <w:numPr>
                <w:ilvl w:val="0"/>
                <w:numId w:val="5"/>
              </w:numPr>
              <w:spacing w:before="0" w:beforeAutospacing="0" w:after="0" w:afterAutospacing="0" w:line="240" w:lineRule="exact"/>
              <w:rPr>
                <w:rFonts w:ascii="楷体" w:hAnsi="楷体" w:eastAsia="楷体" w:cs="楷体"/>
              </w:rPr>
            </w:pPr>
            <w:r>
              <w:rPr>
                <w:rFonts w:hint="eastAsia" w:ascii="楷体" w:hAnsi="楷体" w:eastAsia="楷体" w:cs="楷体"/>
              </w:rPr>
              <w:t>从场外取土点装车回运，综合考虑运距</w:t>
            </w:r>
          </w:p>
          <w:p>
            <w:pPr>
              <w:pStyle w:val="33"/>
              <w:numPr>
                <w:ilvl w:val="0"/>
                <w:numId w:val="5"/>
              </w:numPr>
              <w:spacing w:before="0" w:beforeAutospacing="0" w:after="0" w:afterAutospacing="0" w:line="240" w:lineRule="exact"/>
              <w:rPr>
                <w:rFonts w:ascii="楷体" w:hAnsi="楷体" w:eastAsia="楷体" w:cs="楷体"/>
              </w:rPr>
            </w:pPr>
            <w:r>
              <w:rPr>
                <w:rFonts w:hint="eastAsia" w:ascii="楷体" w:hAnsi="楷体" w:eastAsia="楷体" w:cs="楷体"/>
              </w:rPr>
              <w:t>包含借土场取土费用、购土费。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5</w:t>
            </w:r>
          </w:p>
        </w:tc>
        <w:tc>
          <w:tcPr>
            <w:tcW w:w="1310" w:type="dxa"/>
            <w:noWrap/>
            <w:vAlign w:val="center"/>
          </w:tcPr>
          <w:p>
            <w:pPr>
              <w:pStyle w:val="33"/>
              <w:spacing w:before="0" w:beforeAutospacing="0" w:after="0" w:afterAutospacing="0"/>
              <w:rPr>
                <w:rFonts w:ascii="楷体" w:hAnsi="楷体" w:eastAsia="楷体" w:cs="楷体"/>
              </w:rPr>
            </w:pPr>
            <w:r>
              <w:rPr>
                <w:rFonts w:hint="eastAsia" w:ascii="楷体" w:hAnsi="楷体" w:eastAsia="楷体" w:cs="楷体"/>
              </w:rPr>
              <w:t>灰土回填</w:t>
            </w:r>
          </w:p>
        </w:tc>
        <w:tc>
          <w:tcPr>
            <w:tcW w:w="572"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M3</w:t>
            </w:r>
          </w:p>
        </w:tc>
        <w:tc>
          <w:tcPr>
            <w:tcW w:w="1020" w:type="dxa"/>
            <w:noWrap/>
            <w:vAlign w:val="center"/>
          </w:tcPr>
          <w:p>
            <w:pPr>
              <w:pStyle w:val="33"/>
              <w:spacing w:before="0" w:beforeAutospacing="0" w:after="0" w:afterAutospacing="0"/>
              <w:jc w:val="center"/>
              <w:rPr>
                <w:rFonts w:ascii="楷体" w:hAnsi="楷体" w:eastAsia="楷体" w:cs="楷体"/>
              </w:rPr>
            </w:pPr>
            <w:r>
              <w:rPr>
                <w:rFonts w:ascii="楷体" w:hAnsi="楷体" w:eastAsia="楷体" w:cs="楷体"/>
              </w:rPr>
              <w:t>24000</w:t>
            </w:r>
          </w:p>
        </w:tc>
        <w:tc>
          <w:tcPr>
            <w:tcW w:w="1075" w:type="dxa"/>
            <w:noWrap/>
            <w:vAlign w:val="center"/>
          </w:tcPr>
          <w:p>
            <w:pPr>
              <w:jc w:val="center"/>
              <w:rPr>
                <w:rFonts w:ascii="楷体" w:hAnsi="楷体" w:eastAsia="楷体" w:cs="楷体"/>
                <w:sz w:val="24"/>
                <w:szCs w:val="24"/>
              </w:rPr>
            </w:pPr>
          </w:p>
        </w:tc>
        <w:tc>
          <w:tcPr>
            <w:tcW w:w="1349" w:type="dxa"/>
            <w:noWrap/>
            <w:vAlign w:val="center"/>
          </w:tcPr>
          <w:p>
            <w:pPr>
              <w:jc w:val="center"/>
              <w:rPr>
                <w:rFonts w:ascii="楷体" w:hAnsi="楷体" w:eastAsia="楷体" w:cs="楷体"/>
                <w:sz w:val="24"/>
                <w:szCs w:val="24"/>
              </w:rPr>
            </w:pPr>
          </w:p>
        </w:tc>
        <w:tc>
          <w:tcPr>
            <w:tcW w:w="4590" w:type="dxa"/>
            <w:noWrap/>
            <w:vAlign w:val="center"/>
          </w:tcPr>
          <w:p>
            <w:pPr>
              <w:pStyle w:val="33"/>
              <w:numPr>
                <w:ilvl w:val="0"/>
                <w:numId w:val="6"/>
              </w:numPr>
              <w:spacing w:before="0" w:beforeAutospacing="0" w:after="0" w:afterAutospacing="0" w:line="240" w:lineRule="exact"/>
              <w:rPr>
                <w:rFonts w:ascii="楷体" w:hAnsi="楷体" w:eastAsia="楷体" w:cs="楷体"/>
              </w:rPr>
            </w:pPr>
            <w:r>
              <w:rPr>
                <w:rFonts w:hint="eastAsia" w:ascii="楷体" w:hAnsi="楷体" w:eastAsia="楷体" w:cs="楷体"/>
              </w:rPr>
              <w:t>材质要求:2:8灰土,（白灰招标人提供）</w:t>
            </w:r>
          </w:p>
          <w:p>
            <w:pPr>
              <w:pStyle w:val="33"/>
              <w:spacing w:before="0" w:beforeAutospacing="0" w:after="0" w:afterAutospacing="0" w:line="240" w:lineRule="exact"/>
              <w:rPr>
                <w:rFonts w:ascii="楷体" w:hAnsi="楷体" w:eastAsia="楷体" w:cs="楷体"/>
              </w:rPr>
            </w:pPr>
            <w:r>
              <w:rPr>
                <w:rFonts w:hint="eastAsia" w:ascii="楷体" w:hAnsi="楷体" w:eastAsia="楷体" w:cs="楷体"/>
              </w:rPr>
              <w:t>2.粒径要求:满足现行施工验收规范要求</w:t>
            </w:r>
          </w:p>
          <w:p>
            <w:pPr>
              <w:pStyle w:val="33"/>
              <w:spacing w:before="0" w:beforeAutospacing="0" w:after="0" w:afterAutospacing="0" w:line="240" w:lineRule="exact"/>
              <w:rPr>
                <w:rFonts w:ascii="楷体" w:hAnsi="楷体" w:eastAsia="楷体" w:cs="楷体"/>
              </w:rPr>
            </w:pPr>
            <w:r>
              <w:rPr>
                <w:rFonts w:hint="eastAsia" w:ascii="楷体" w:hAnsi="楷体" w:eastAsia="楷体" w:cs="楷体"/>
              </w:rPr>
              <w:t>3.夯填(碾压):分层夯实.</w:t>
            </w:r>
          </w:p>
          <w:p>
            <w:pPr>
              <w:pStyle w:val="33"/>
              <w:spacing w:before="0" w:beforeAutospacing="0" w:after="0" w:afterAutospacing="0" w:line="240" w:lineRule="exact"/>
              <w:rPr>
                <w:rFonts w:ascii="楷体" w:hAnsi="楷体" w:eastAsia="楷体" w:cs="楷体"/>
              </w:rPr>
            </w:pPr>
            <w:r>
              <w:rPr>
                <w:rFonts w:hint="eastAsia" w:ascii="楷体" w:hAnsi="楷体" w:eastAsia="楷体" w:cs="楷体"/>
              </w:rPr>
              <w:t>4.填方来源、运距:投标人综合考虑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6</w:t>
            </w:r>
          </w:p>
        </w:tc>
        <w:tc>
          <w:tcPr>
            <w:tcW w:w="1310" w:type="dxa"/>
            <w:noWrap/>
            <w:vAlign w:val="center"/>
          </w:tcPr>
          <w:p>
            <w:pPr>
              <w:pStyle w:val="33"/>
              <w:spacing w:before="0" w:beforeAutospacing="0" w:after="0" w:afterAutospacing="0"/>
              <w:rPr>
                <w:rFonts w:ascii="楷体" w:hAnsi="楷体" w:eastAsia="楷体" w:cs="楷体"/>
              </w:rPr>
            </w:pPr>
            <w:r>
              <w:rPr>
                <w:rFonts w:hint="eastAsia" w:ascii="楷体" w:hAnsi="楷体" w:eastAsia="楷体" w:cs="楷体"/>
              </w:rPr>
              <w:t>原土回填</w:t>
            </w:r>
          </w:p>
        </w:tc>
        <w:tc>
          <w:tcPr>
            <w:tcW w:w="572"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M3</w:t>
            </w:r>
          </w:p>
        </w:tc>
        <w:tc>
          <w:tcPr>
            <w:tcW w:w="1020" w:type="dxa"/>
            <w:noWrap/>
            <w:vAlign w:val="center"/>
          </w:tcPr>
          <w:p>
            <w:pPr>
              <w:pStyle w:val="33"/>
              <w:spacing w:before="0" w:beforeAutospacing="0" w:after="0" w:afterAutospacing="0"/>
              <w:jc w:val="center"/>
              <w:rPr>
                <w:rFonts w:ascii="楷体" w:hAnsi="楷体" w:eastAsia="楷体" w:cs="楷体"/>
              </w:rPr>
            </w:pPr>
            <w:r>
              <w:rPr>
                <w:rFonts w:ascii="楷体" w:hAnsi="楷体" w:eastAsia="楷体" w:cs="楷体"/>
              </w:rPr>
              <w:t>10000</w:t>
            </w:r>
          </w:p>
        </w:tc>
        <w:tc>
          <w:tcPr>
            <w:tcW w:w="1075" w:type="dxa"/>
            <w:noWrap/>
            <w:vAlign w:val="center"/>
          </w:tcPr>
          <w:p>
            <w:pPr>
              <w:pStyle w:val="33"/>
              <w:spacing w:before="0" w:beforeAutospacing="0" w:after="0" w:afterAutospacing="0"/>
              <w:jc w:val="center"/>
              <w:rPr>
                <w:rFonts w:ascii="楷体" w:hAnsi="楷体" w:eastAsia="楷体" w:cs="楷体"/>
              </w:rPr>
            </w:pPr>
          </w:p>
        </w:tc>
        <w:tc>
          <w:tcPr>
            <w:tcW w:w="1349" w:type="dxa"/>
            <w:noWrap/>
            <w:vAlign w:val="center"/>
          </w:tcPr>
          <w:p>
            <w:pPr>
              <w:pStyle w:val="33"/>
              <w:spacing w:before="0" w:beforeAutospacing="0" w:after="0" w:afterAutospacing="0"/>
              <w:rPr>
                <w:rFonts w:ascii="楷体" w:hAnsi="楷体" w:eastAsia="楷体" w:cs="楷体"/>
              </w:rPr>
            </w:pPr>
          </w:p>
        </w:tc>
        <w:tc>
          <w:tcPr>
            <w:tcW w:w="4590" w:type="dxa"/>
            <w:noWrap/>
            <w:vAlign w:val="center"/>
          </w:tcPr>
          <w:p>
            <w:pPr>
              <w:pStyle w:val="33"/>
              <w:spacing w:before="0" w:beforeAutospacing="0" w:after="0" w:afterAutospacing="0" w:line="240" w:lineRule="exact"/>
              <w:rPr>
                <w:rFonts w:ascii="楷体" w:hAnsi="楷体" w:eastAsia="楷体" w:cs="楷体"/>
              </w:rPr>
            </w:pPr>
            <w:r>
              <w:rPr>
                <w:rFonts w:hint="eastAsia" w:ascii="楷体" w:hAnsi="楷体" w:eastAsia="楷体" w:cs="楷体"/>
              </w:rPr>
              <w:t>1.回填土应分层夯实，边角处须补夯密实</w:t>
            </w:r>
          </w:p>
          <w:p>
            <w:pPr>
              <w:pStyle w:val="33"/>
              <w:spacing w:before="0" w:beforeAutospacing="0" w:after="0" w:afterAutospacing="0" w:line="240" w:lineRule="exact"/>
              <w:rPr>
                <w:rFonts w:ascii="楷体" w:hAnsi="楷体" w:eastAsia="楷体" w:cs="楷体"/>
              </w:rPr>
            </w:pPr>
            <w:r>
              <w:rPr>
                <w:rFonts w:hint="eastAsia" w:ascii="楷体" w:hAnsi="楷体" w:eastAsia="楷体" w:cs="楷体"/>
              </w:rPr>
              <w:t>2、合格土石方，投标人自行考虑场内转运的相关费用。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7</w:t>
            </w:r>
          </w:p>
        </w:tc>
        <w:tc>
          <w:tcPr>
            <w:tcW w:w="1310" w:type="dxa"/>
            <w:noWrap/>
            <w:vAlign w:val="center"/>
          </w:tcPr>
          <w:p>
            <w:pPr>
              <w:pStyle w:val="33"/>
              <w:spacing w:before="0" w:beforeAutospacing="0" w:after="0" w:afterAutospacing="0"/>
              <w:rPr>
                <w:rFonts w:ascii="楷体" w:hAnsi="楷体" w:eastAsia="楷体" w:cs="楷体"/>
              </w:rPr>
            </w:pPr>
            <w:r>
              <w:rPr>
                <w:rFonts w:hint="eastAsia" w:ascii="楷体" w:hAnsi="楷体" w:eastAsia="楷体" w:cs="楷体"/>
              </w:rPr>
              <w:t>截桩头及清理外运</w:t>
            </w:r>
          </w:p>
        </w:tc>
        <w:tc>
          <w:tcPr>
            <w:tcW w:w="572"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根</w:t>
            </w:r>
          </w:p>
        </w:tc>
        <w:tc>
          <w:tcPr>
            <w:tcW w:w="1020"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100</w:t>
            </w:r>
          </w:p>
        </w:tc>
        <w:tc>
          <w:tcPr>
            <w:tcW w:w="1075" w:type="dxa"/>
            <w:noWrap/>
            <w:vAlign w:val="center"/>
          </w:tcPr>
          <w:p>
            <w:pPr>
              <w:pStyle w:val="33"/>
              <w:spacing w:before="0" w:beforeAutospacing="0" w:after="0" w:afterAutospacing="0"/>
              <w:jc w:val="center"/>
              <w:rPr>
                <w:rFonts w:ascii="楷体" w:hAnsi="楷体" w:eastAsia="楷体" w:cs="楷体"/>
              </w:rPr>
            </w:pPr>
          </w:p>
        </w:tc>
        <w:tc>
          <w:tcPr>
            <w:tcW w:w="1349" w:type="dxa"/>
            <w:noWrap/>
            <w:vAlign w:val="center"/>
          </w:tcPr>
          <w:p>
            <w:pPr>
              <w:pStyle w:val="33"/>
              <w:spacing w:before="0" w:beforeAutospacing="0" w:after="0" w:afterAutospacing="0"/>
              <w:rPr>
                <w:rFonts w:ascii="楷体" w:hAnsi="楷体" w:eastAsia="楷体" w:cs="楷体"/>
              </w:rPr>
            </w:pPr>
          </w:p>
        </w:tc>
        <w:tc>
          <w:tcPr>
            <w:tcW w:w="4590" w:type="dxa"/>
            <w:noWrap/>
            <w:vAlign w:val="center"/>
          </w:tcPr>
          <w:p>
            <w:pPr>
              <w:pStyle w:val="33"/>
              <w:spacing w:before="0" w:beforeAutospacing="0" w:after="0" w:afterAutospacing="0" w:line="240" w:lineRule="exact"/>
              <w:rPr>
                <w:rFonts w:ascii="楷体" w:hAnsi="楷体" w:eastAsia="楷体" w:cs="楷体"/>
              </w:rPr>
            </w:pPr>
            <w:r>
              <w:rPr>
                <w:rFonts w:hint="eastAsia" w:ascii="楷体" w:hAnsi="楷体" w:eastAsia="楷体" w:cs="楷体"/>
              </w:rPr>
              <w:t>1、桩类型：CFG桩 2、包含截桩头及清理外运相关费用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663" w:type="dxa"/>
            <w:noWrap/>
            <w:vAlign w:val="center"/>
          </w:tcPr>
          <w:p>
            <w:pPr>
              <w:jc w:val="center"/>
              <w:rPr>
                <w:rFonts w:ascii="楷体" w:hAnsi="楷体" w:eastAsia="楷体" w:cs="楷体"/>
                <w:sz w:val="24"/>
                <w:szCs w:val="24"/>
              </w:rPr>
            </w:pPr>
            <w:r>
              <w:rPr>
                <w:rFonts w:hint="eastAsia" w:ascii="楷体" w:hAnsi="楷体" w:eastAsia="楷体" w:cs="楷体"/>
                <w:sz w:val="24"/>
                <w:szCs w:val="24"/>
              </w:rPr>
              <w:t>8</w:t>
            </w:r>
          </w:p>
        </w:tc>
        <w:tc>
          <w:tcPr>
            <w:tcW w:w="1310" w:type="dxa"/>
            <w:noWrap/>
            <w:vAlign w:val="center"/>
          </w:tcPr>
          <w:p>
            <w:pPr>
              <w:pStyle w:val="33"/>
              <w:spacing w:before="0" w:beforeAutospacing="0" w:after="0" w:afterAutospacing="0"/>
              <w:rPr>
                <w:rFonts w:ascii="楷体" w:hAnsi="楷体" w:eastAsia="楷体" w:cs="楷体"/>
              </w:rPr>
            </w:pPr>
            <w:r>
              <w:rPr>
                <w:rFonts w:hint="eastAsia" w:ascii="楷体" w:hAnsi="楷体" w:eastAsia="楷体" w:cs="楷体"/>
              </w:rPr>
              <w:t>地下外墙保温</w:t>
            </w:r>
          </w:p>
        </w:tc>
        <w:tc>
          <w:tcPr>
            <w:tcW w:w="572"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M</w:t>
            </w:r>
            <w:r>
              <w:rPr>
                <w:rFonts w:ascii="楷体" w:hAnsi="楷体" w:eastAsia="楷体" w:cs="楷体"/>
              </w:rPr>
              <w:t>2</w:t>
            </w:r>
          </w:p>
        </w:tc>
        <w:tc>
          <w:tcPr>
            <w:tcW w:w="1020" w:type="dxa"/>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1</w:t>
            </w:r>
            <w:r>
              <w:rPr>
                <w:rFonts w:ascii="楷体" w:hAnsi="楷体" w:eastAsia="楷体" w:cs="楷体"/>
              </w:rPr>
              <w:t>6000</w:t>
            </w:r>
          </w:p>
        </w:tc>
        <w:tc>
          <w:tcPr>
            <w:tcW w:w="1075" w:type="dxa"/>
            <w:noWrap/>
            <w:vAlign w:val="center"/>
          </w:tcPr>
          <w:p>
            <w:pPr>
              <w:pStyle w:val="33"/>
              <w:spacing w:before="0" w:beforeAutospacing="0" w:after="0" w:afterAutospacing="0"/>
              <w:jc w:val="center"/>
              <w:rPr>
                <w:rFonts w:ascii="楷体" w:hAnsi="楷体" w:eastAsia="楷体" w:cs="楷体"/>
              </w:rPr>
            </w:pPr>
          </w:p>
        </w:tc>
        <w:tc>
          <w:tcPr>
            <w:tcW w:w="1349" w:type="dxa"/>
            <w:noWrap/>
            <w:vAlign w:val="center"/>
          </w:tcPr>
          <w:p>
            <w:pPr>
              <w:pStyle w:val="33"/>
              <w:spacing w:before="0" w:beforeAutospacing="0" w:after="0" w:afterAutospacing="0"/>
              <w:rPr>
                <w:rFonts w:ascii="楷体" w:hAnsi="楷体" w:eastAsia="楷体" w:cs="楷体"/>
              </w:rPr>
            </w:pPr>
          </w:p>
        </w:tc>
        <w:tc>
          <w:tcPr>
            <w:tcW w:w="4590" w:type="dxa"/>
            <w:noWrap/>
            <w:vAlign w:val="center"/>
          </w:tcPr>
          <w:p>
            <w:pPr>
              <w:pStyle w:val="33"/>
              <w:spacing w:before="0" w:beforeAutospacing="0" w:after="0" w:afterAutospacing="0" w:line="240" w:lineRule="exact"/>
              <w:rPr>
                <w:rFonts w:ascii="楷体" w:hAnsi="楷体" w:eastAsia="楷体" w:cs="楷体"/>
              </w:rPr>
            </w:pPr>
            <w:r>
              <w:rPr>
                <w:rFonts w:hint="eastAsia" w:ascii="楷体" w:hAnsi="楷体" w:eastAsia="楷体" w:cs="楷体"/>
              </w:rPr>
              <w:t>60mm厚挤塑聚苯板保温，材料由招标人提供。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3565" w:type="dxa"/>
            <w:gridSpan w:val="4"/>
            <w:noWrap/>
            <w:vAlign w:val="center"/>
          </w:tcPr>
          <w:p>
            <w:pPr>
              <w:pStyle w:val="33"/>
              <w:spacing w:before="0" w:beforeAutospacing="0" w:after="0" w:afterAutospacing="0"/>
              <w:jc w:val="center"/>
              <w:rPr>
                <w:rFonts w:ascii="楷体" w:hAnsi="楷体" w:eastAsia="楷体" w:cs="楷体"/>
              </w:rPr>
            </w:pPr>
            <w:r>
              <w:rPr>
                <w:rFonts w:hint="eastAsia" w:ascii="楷体" w:hAnsi="楷体" w:eastAsia="楷体" w:cs="楷体"/>
              </w:rPr>
              <w:t>合价：</w:t>
            </w:r>
          </w:p>
        </w:tc>
        <w:tc>
          <w:tcPr>
            <w:tcW w:w="7014" w:type="dxa"/>
            <w:gridSpan w:val="3"/>
            <w:noWrap/>
            <w:vAlign w:val="center"/>
          </w:tcPr>
          <w:p>
            <w:pPr>
              <w:pStyle w:val="33"/>
              <w:spacing w:before="0" w:beforeAutospacing="0" w:after="0" w:afterAutospacing="0"/>
              <w:rPr>
                <w:rFonts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3565" w:type="dxa"/>
            <w:gridSpan w:val="4"/>
            <w:noWrap/>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投标人签字、盖章</w:t>
            </w:r>
          </w:p>
        </w:tc>
        <w:tc>
          <w:tcPr>
            <w:tcW w:w="7014" w:type="dxa"/>
            <w:gridSpan w:val="3"/>
            <w:noWrap/>
            <w:vAlign w:val="center"/>
          </w:tcPr>
          <w:p>
            <w:pPr>
              <w:spacing w:line="48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3565" w:type="dxa"/>
            <w:gridSpan w:val="4"/>
            <w:tcBorders>
              <w:bottom w:val="single" w:color="auto" w:sz="4" w:space="0"/>
            </w:tcBorders>
            <w:noWrap/>
            <w:vAlign w:val="center"/>
          </w:tcPr>
          <w:p>
            <w:pPr>
              <w:spacing w:line="320" w:lineRule="exact"/>
              <w:jc w:val="center"/>
              <w:rPr>
                <w:rFonts w:ascii="楷体" w:hAnsi="楷体" w:eastAsia="楷体" w:cs="楷体"/>
                <w:sz w:val="24"/>
                <w:szCs w:val="24"/>
              </w:rPr>
            </w:pPr>
            <w:r>
              <w:rPr>
                <w:rFonts w:hint="eastAsia" w:ascii="楷体" w:hAnsi="楷体" w:eastAsia="楷体" w:cs="楷体"/>
                <w:sz w:val="24"/>
                <w:szCs w:val="24"/>
              </w:rPr>
              <w:t>对报价需要说明的问题</w:t>
            </w:r>
          </w:p>
        </w:tc>
        <w:tc>
          <w:tcPr>
            <w:tcW w:w="7014" w:type="dxa"/>
            <w:gridSpan w:val="3"/>
            <w:tcBorders>
              <w:bottom w:val="single" w:color="auto" w:sz="4" w:space="0"/>
            </w:tcBorders>
            <w:noWrap/>
            <w:vAlign w:val="center"/>
          </w:tcPr>
          <w:p>
            <w:pPr>
              <w:spacing w:line="480" w:lineRule="auto"/>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jc w:val="center"/>
        </w:trPr>
        <w:tc>
          <w:tcPr>
            <w:tcW w:w="10579" w:type="dxa"/>
            <w:gridSpan w:val="7"/>
            <w:tcBorders>
              <w:left w:val="nil"/>
              <w:bottom w:val="nil"/>
              <w:right w:val="nil"/>
            </w:tcBorders>
            <w:noWrap/>
          </w:tcPr>
          <w:p>
            <w:pPr>
              <w:spacing w:beforeLines="50" w:line="320" w:lineRule="atLeast"/>
              <w:rPr>
                <w:rFonts w:hAnsi="宋体" w:cs="宋体"/>
                <w:b/>
                <w:bCs/>
                <w:sz w:val="24"/>
                <w:szCs w:val="24"/>
              </w:rPr>
            </w:pPr>
            <w:r>
              <w:rPr>
                <w:rFonts w:hint="eastAsia" w:hAnsi="宋体" w:cs="宋体"/>
                <w:b/>
                <w:bCs/>
                <w:sz w:val="24"/>
                <w:szCs w:val="24"/>
              </w:rPr>
              <w:t>1、所有施工内容及土方、灰土材质需满足图纸设计和施工要求，符合现行国家有关工程施工验收规范和标准的要求（合格），并满足雄安新区相关文件对于工程质量的要求。</w:t>
            </w:r>
          </w:p>
          <w:p>
            <w:pPr>
              <w:spacing w:beforeLines="50" w:line="320" w:lineRule="atLeast"/>
              <w:rPr>
                <w:rFonts w:hAnsi="宋体" w:cs="宋体"/>
                <w:b/>
                <w:bCs/>
                <w:sz w:val="24"/>
                <w:szCs w:val="24"/>
              </w:rPr>
            </w:pPr>
            <w:r>
              <w:rPr>
                <w:rFonts w:hAnsi="宋体" w:cs="宋体"/>
                <w:b/>
                <w:bCs/>
                <w:sz w:val="24"/>
                <w:szCs w:val="24"/>
              </w:rPr>
              <w:t>2</w:t>
            </w:r>
            <w:r>
              <w:rPr>
                <w:rFonts w:hint="eastAsia" w:hAnsi="宋体" w:cs="宋体"/>
                <w:b/>
                <w:bCs/>
                <w:sz w:val="24"/>
                <w:szCs w:val="24"/>
              </w:rPr>
              <w:t>、本表由投标单位填写，根据自身情况进行报价，</w:t>
            </w:r>
            <w:r>
              <w:rPr>
                <w:rFonts w:hint="eastAsia" w:hAnsi="宋体" w:cs="宋体"/>
                <w:b/>
                <w:bCs/>
                <w:kern w:val="2"/>
                <w:sz w:val="24"/>
                <w:szCs w:val="24"/>
              </w:rPr>
              <w:t>工程量为估算量，单价为含税成活价</w:t>
            </w:r>
            <w:r>
              <w:rPr>
                <w:rFonts w:hint="eastAsia" w:hAnsi="宋体" w:cs="宋体"/>
                <w:b/>
                <w:bCs/>
                <w:sz w:val="24"/>
                <w:szCs w:val="24"/>
              </w:rPr>
              <w:t>（含9%增值税专用发票）；具体报价要求详见报价说明及计量方式。</w:t>
            </w:r>
          </w:p>
          <w:p>
            <w:pPr>
              <w:spacing w:beforeLines="50" w:line="320" w:lineRule="atLeast"/>
              <w:rPr>
                <w:rFonts w:hAnsi="宋体" w:cs="宋体"/>
                <w:b/>
                <w:bCs/>
                <w:kern w:val="2"/>
                <w:sz w:val="24"/>
                <w:szCs w:val="24"/>
              </w:rPr>
            </w:pPr>
            <w:r>
              <w:rPr>
                <w:rFonts w:hAnsi="宋体" w:cs="宋体"/>
                <w:b/>
                <w:bCs/>
                <w:kern w:val="2"/>
                <w:sz w:val="24"/>
                <w:szCs w:val="24"/>
              </w:rPr>
              <w:t>3</w:t>
            </w:r>
            <w:r>
              <w:rPr>
                <w:rFonts w:hint="eastAsia" w:hAnsi="宋体" w:cs="宋体"/>
                <w:b/>
                <w:bCs/>
                <w:kern w:val="2"/>
                <w:sz w:val="24"/>
                <w:szCs w:val="24"/>
              </w:rPr>
              <w:t>、投标人需充分考虑风险、雨季施工、疫情、及政府政策调整情况，投标人自行协调解决手续问题；</w:t>
            </w:r>
          </w:p>
          <w:p>
            <w:pPr>
              <w:spacing w:beforeLines="50" w:line="320" w:lineRule="atLeast"/>
              <w:rPr>
                <w:rFonts w:hAnsi="宋体" w:cs="宋体"/>
                <w:sz w:val="24"/>
                <w:szCs w:val="24"/>
              </w:rPr>
            </w:pPr>
            <w:r>
              <w:rPr>
                <w:rFonts w:hint="eastAsia" w:hAnsi="宋体" w:cs="宋体"/>
                <w:b/>
                <w:bCs/>
                <w:kern w:val="2"/>
                <w:sz w:val="24"/>
                <w:szCs w:val="24"/>
              </w:rPr>
              <w:t>备注中未说明的按2012年河北省消耗量定额中的工程量计算规则进行计算。</w:t>
            </w:r>
          </w:p>
        </w:tc>
      </w:tr>
    </w:tbl>
    <w:p>
      <w:pPr>
        <w:pStyle w:val="2"/>
        <w:ind w:left="0" w:firstLine="0" w:firstLineChars="0"/>
        <w:jc w:val="center"/>
        <w:rPr>
          <w:rFonts w:hAnsi="宋体" w:cs="宋体"/>
          <w:b/>
          <w:bCs/>
          <w:sz w:val="30"/>
          <w:szCs w:val="22"/>
        </w:rPr>
      </w:pPr>
      <w:r>
        <w:rPr>
          <w:rFonts w:hint="eastAsia" w:hAnsi="宋体" w:cs="宋体"/>
          <w:b/>
          <w:bCs/>
          <w:sz w:val="30"/>
          <w:szCs w:val="22"/>
        </w:rPr>
        <w:t>机械台班报价表</w:t>
      </w:r>
    </w:p>
    <w:tbl>
      <w:tblPr>
        <w:tblStyle w:val="35"/>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488"/>
        <w:gridCol w:w="1417"/>
        <w:gridCol w:w="2127"/>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tcBorders>
              <w:top w:val="single" w:color="auto" w:sz="4" w:space="0"/>
            </w:tcBorders>
            <w:vAlign w:val="center"/>
          </w:tcPr>
          <w:p>
            <w:pPr>
              <w:jc w:val="center"/>
              <w:rPr>
                <w:rFonts w:hAnsi="宋体"/>
                <w:sz w:val="20"/>
                <w:szCs w:val="21"/>
              </w:rPr>
            </w:pPr>
            <w:r>
              <w:rPr>
                <w:rFonts w:hint="eastAsia" w:hAnsi="宋体"/>
                <w:sz w:val="20"/>
                <w:szCs w:val="21"/>
              </w:rPr>
              <w:t>序号</w:t>
            </w:r>
          </w:p>
        </w:tc>
        <w:tc>
          <w:tcPr>
            <w:tcW w:w="2488" w:type="dxa"/>
            <w:tcBorders>
              <w:top w:val="single" w:color="auto" w:sz="4" w:space="0"/>
            </w:tcBorders>
            <w:vAlign w:val="center"/>
          </w:tcPr>
          <w:p>
            <w:pPr>
              <w:jc w:val="center"/>
              <w:rPr>
                <w:rFonts w:hAnsi="宋体"/>
                <w:sz w:val="20"/>
                <w:szCs w:val="21"/>
              </w:rPr>
            </w:pPr>
            <w:r>
              <w:rPr>
                <w:rFonts w:hint="eastAsia" w:hAnsi="宋体"/>
                <w:sz w:val="20"/>
                <w:szCs w:val="21"/>
              </w:rPr>
              <w:t>机械规格</w:t>
            </w:r>
          </w:p>
        </w:tc>
        <w:tc>
          <w:tcPr>
            <w:tcW w:w="1417" w:type="dxa"/>
            <w:tcBorders>
              <w:top w:val="single" w:color="auto" w:sz="4" w:space="0"/>
            </w:tcBorders>
            <w:vAlign w:val="center"/>
          </w:tcPr>
          <w:p>
            <w:pPr>
              <w:jc w:val="center"/>
              <w:rPr>
                <w:sz w:val="20"/>
              </w:rPr>
            </w:pPr>
            <w:r>
              <w:rPr>
                <w:rFonts w:hint="eastAsia"/>
                <w:sz w:val="20"/>
              </w:rPr>
              <w:t>单位</w:t>
            </w:r>
          </w:p>
        </w:tc>
        <w:tc>
          <w:tcPr>
            <w:tcW w:w="2127" w:type="dxa"/>
            <w:tcBorders>
              <w:top w:val="single" w:color="auto" w:sz="4" w:space="0"/>
            </w:tcBorders>
            <w:vAlign w:val="center"/>
          </w:tcPr>
          <w:p>
            <w:pPr>
              <w:jc w:val="center"/>
              <w:rPr>
                <w:rFonts w:hAnsi="宋体"/>
                <w:sz w:val="20"/>
                <w:szCs w:val="21"/>
              </w:rPr>
            </w:pPr>
            <w:r>
              <w:rPr>
                <w:rFonts w:hint="eastAsia" w:hAnsi="宋体"/>
                <w:sz w:val="20"/>
                <w:szCs w:val="21"/>
              </w:rPr>
              <w:t>综合单价</w:t>
            </w:r>
          </w:p>
        </w:tc>
        <w:tc>
          <w:tcPr>
            <w:tcW w:w="2322" w:type="dxa"/>
            <w:tcBorders>
              <w:top w:val="single" w:color="auto" w:sz="4" w:space="0"/>
            </w:tcBorders>
            <w:vAlign w:val="center"/>
          </w:tcPr>
          <w:p>
            <w:pPr>
              <w:jc w:val="center"/>
              <w:rPr>
                <w:sz w:val="20"/>
              </w:rPr>
            </w:pPr>
            <w:r>
              <w:rPr>
                <w:rFonts w:hint="eastAsia" w:hAnsi="宋体"/>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vAlign w:val="center"/>
          </w:tcPr>
          <w:p>
            <w:pPr>
              <w:jc w:val="center"/>
              <w:rPr>
                <w:rFonts w:hAnsi="宋体"/>
                <w:sz w:val="20"/>
                <w:szCs w:val="21"/>
              </w:rPr>
            </w:pPr>
            <w:r>
              <w:rPr>
                <w:rFonts w:hint="eastAsia" w:hAnsi="宋体"/>
                <w:sz w:val="20"/>
                <w:szCs w:val="21"/>
              </w:rPr>
              <w:t>1</w:t>
            </w:r>
          </w:p>
        </w:tc>
        <w:tc>
          <w:tcPr>
            <w:tcW w:w="2488" w:type="dxa"/>
            <w:vAlign w:val="center"/>
          </w:tcPr>
          <w:p>
            <w:pPr>
              <w:jc w:val="center"/>
              <w:rPr>
                <w:rFonts w:hAnsi="宋体"/>
                <w:sz w:val="20"/>
                <w:szCs w:val="21"/>
              </w:rPr>
            </w:pPr>
            <w:r>
              <w:rPr>
                <w:rFonts w:hint="eastAsia" w:hAnsi="宋体"/>
                <w:sz w:val="20"/>
                <w:szCs w:val="21"/>
              </w:rPr>
              <w:t>60钩机</w:t>
            </w:r>
          </w:p>
        </w:tc>
        <w:tc>
          <w:tcPr>
            <w:tcW w:w="1417" w:type="dxa"/>
            <w:vAlign w:val="center"/>
          </w:tcPr>
          <w:p>
            <w:pPr>
              <w:jc w:val="center"/>
              <w:rPr>
                <w:sz w:val="20"/>
              </w:rPr>
            </w:pPr>
            <w:r>
              <w:rPr>
                <w:rFonts w:hint="eastAsia" w:hAnsi="宋体"/>
                <w:sz w:val="20"/>
                <w:szCs w:val="21"/>
              </w:rPr>
              <w:t>台班</w:t>
            </w:r>
          </w:p>
        </w:tc>
        <w:tc>
          <w:tcPr>
            <w:tcW w:w="2127" w:type="dxa"/>
            <w:vAlign w:val="center"/>
          </w:tcPr>
          <w:p>
            <w:pPr>
              <w:jc w:val="center"/>
              <w:rPr>
                <w:rFonts w:hAnsi="宋体"/>
                <w:sz w:val="20"/>
                <w:szCs w:val="21"/>
              </w:rPr>
            </w:pPr>
          </w:p>
        </w:tc>
        <w:tc>
          <w:tcPr>
            <w:tcW w:w="2322" w:type="dxa"/>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vAlign w:val="center"/>
          </w:tcPr>
          <w:p>
            <w:pPr>
              <w:jc w:val="center"/>
              <w:rPr>
                <w:rFonts w:hAnsi="宋体"/>
                <w:sz w:val="20"/>
                <w:szCs w:val="21"/>
              </w:rPr>
            </w:pPr>
            <w:r>
              <w:rPr>
                <w:rFonts w:hint="eastAsia" w:hAnsi="宋体"/>
                <w:sz w:val="20"/>
                <w:szCs w:val="21"/>
              </w:rPr>
              <w:t>2</w:t>
            </w:r>
          </w:p>
        </w:tc>
        <w:tc>
          <w:tcPr>
            <w:tcW w:w="2488" w:type="dxa"/>
            <w:vAlign w:val="center"/>
          </w:tcPr>
          <w:p>
            <w:pPr>
              <w:jc w:val="center"/>
              <w:rPr>
                <w:rFonts w:hAnsi="宋体"/>
                <w:sz w:val="20"/>
                <w:szCs w:val="21"/>
              </w:rPr>
            </w:pPr>
            <w:r>
              <w:rPr>
                <w:rFonts w:hint="eastAsia" w:hAnsi="宋体"/>
                <w:sz w:val="20"/>
                <w:szCs w:val="21"/>
              </w:rPr>
              <w:t>240钩机</w:t>
            </w:r>
          </w:p>
        </w:tc>
        <w:tc>
          <w:tcPr>
            <w:tcW w:w="1417" w:type="dxa"/>
            <w:vAlign w:val="center"/>
          </w:tcPr>
          <w:p>
            <w:pPr>
              <w:jc w:val="center"/>
              <w:rPr>
                <w:sz w:val="20"/>
              </w:rPr>
            </w:pPr>
            <w:r>
              <w:rPr>
                <w:rFonts w:hint="eastAsia" w:hAnsi="宋体"/>
                <w:sz w:val="20"/>
                <w:szCs w:val="21"/>
              </w:rPr>
              <w:t>台班</w:t>
            </w:r>
          </w:p>
        </w:tc>
        <w:tc>
          <w:tcPr>
            <w:tcW w:w="2127" w:type="dxa"/>
            <w:vAlign w:val="center"/>
          </w:tcPr>
          <w:p>
            <w:pPr>
              <w:jc w:val="center"/>
              <w:rPr>
                <w:rFonts w:hAnsi="宋体"/>
                <w:sz w:val="20"/>
                <w:szCs w:val="21"/>
              </w:rPr>
            </w:pPr>
          </w:p>
        </w:tc>
        <w:tc>
          <w:tcPr>
            <w:tcW w:w="2322" w:type="dxa"/>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vAlign w:val="center"/>
          </w:tcPr>
          <w:p>
            <w:pPr>
              <w:jc w:val="center"/>
              <w:rPr>
                <w:rFonts w:hAnsi="宋体"/>
                <w:sz w:val="20"/>
                <w:szCs w:val="21"/>
              </w:rPr>
            </w:pPr>
            <w:r>
              <w:rPr>
                <w:rFonts w:hint="eastAsia" w:hAnsi="宋体"/>
                <w:sz w:val="20"/>
                <w:szCs w:val="21"/>
              </w:rPr>
              <w:t>3</w:t>
            </w:r>
          </w:p>
        </w:tc>
        <w:tc>
          <w:tcPr>
            <w:tcW w:w="2488" w:type="dxa"/>
            <w:vAlign w:val="center"/>
          </w:tcPr>
          <w:p>
            <w:pPr>
              <w:jc w:val="center"/>
              <w:rPr>
                <w:rFonts w:hAnsi="宋体"/>
                <w:sz w:val="20"/>
                <w:szCs w:val="21"/>
              </w:rPr>
            </w:pPr>
            <w:r>
              <w:rPr>
                <w:rFonts w:hint="eastAsia" w:hAnsi="宋体"/>
                <w:sz w:val="20"/>
                <w:szCs w:val="21"/>
              </w:rPr>
              <w:t>260钩机</w:t>
            </w:r>
          </w:p>
        </w:tc>
        <w:tc>
          <w:tcPr>
            <w:tcW w:w="1417" w:type="dxa"/>
            <w:vAlign w:val="center"/>
          </w:tcPr>
          <w:p>
            <w:pPr>
              <w:jc w:val="center"/>
              <w:rPr>
                <w:rFonts w:hAnsi="宋体"/>
                <w:sz w:val="20"/>
                <w:szCs w:val="21"/>
              </w:rPr>
            </w:pPr>
            <w:r>
              <w:rPr>
                <w:rFonts w:hint="eastAsia" w:hAnsi="宋体"/>
                <w:sz w:val="20"/>
                <w:szCs w:val="21"/>
              </w:rPr>
              <w:t>台班</w:t>
            </w:r>
          </w:p>
        </w:tc>
        <w:tc>
          <w:tcPr>
            <w:tcW w:w="2127" w:type="dxa"/>
            <w:vAlign w:val="center"/>
          </w:tcPr>
          <w:p>
            <w:pPr>
              <w:jc w:val="center"/>
              <w:rPr>
                <w:rFonts w:hAnsi="宋体"/>
                <w:sz w:val="20"/>
                <w:szCs w:val="21"/>
              </w:rPr>
            </w:pPr>
          </w:p>
        </w:tc>
        <w:tc>
          <w:tcPr>
            <w:tcW w:w="2322" w:type="dxa"/>
            <w:vAlign w:val="center"/>
          </w:tcPr>
          <w:p>
            <w:pPr>
              <w:jc w:val="center"/>
              <w:rPr>
                <w:rFonts w:hAnsi="宋体"/>
                <w:sz w:val="20"/>
                <w:szCs w:val="21"/>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4</w:t>
            </w:r>
          </w:p>
        </w:tc>
        <w:tc>
          <w:tcPr>
            <w:tcW w:w="2488" w:type="dxa"/>
            <w:shd w:val="clear" w:color="auto" w:fill="auto"/>
            <w:vAlign w:val="center"/>
          </w:tcPr>
          <w:p>
            <w:pPr>
              <w:jc w:val="center"/>
              <w:rPr>
                <w:rFonts w:hAnsi="宋体"/>
                <w:sz w:val="20"/>
                <w:szCs w:val="21"/>
              </w:rPr>
            </w:pPr>
            <w:r>
              <w:rPr>
                <w:rFonts w:hint="eastAsia" w:hAnsi="宋体"/>
                <w:sz w:val="20"/>
                <w:szCs w:val="21"/>
              </w:rPr>
              <w:t>300钩机</w:t>
            </w:r>
          </w:p>
        </w:tc>
        <w:tc>
          <w:tcPr>
            <w:tcW w:w="1417" w:type="dxa"/>
            <w:shd w:val="clear" w:color="auto" w:fill="auto"/>
            <w:vAlign w:val="center"/>
          </w:tcPr>
          <w:p>
            <w:pPr>
              <w:jc w:val="center"/>
              <w:rPr>
                <w:rFonts w:hAnsi="宋体"/>
                <w:sz w:val="20"/>
                <w:szCs w:val="21"/>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rFonts w:hAnsi="宋体"/>
                <w:sz w:val="20"/>
                <w:szCs w:val="21"/>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5</w:t>
            </w:r>
          </w:p>
        </w:tc>
        <w:tc>
          <w:tcPr>
            <w:tcW w:w="2488" w:type="dxa"/>
            <w:shd w:val="clear" w:color="auto" w:fill="auto"/>
            <w:vAlign w:val="center"/>
          </w:tcPr>
          <w:p>
            <w:pPr>
              <w:jc w:val="center"/>
              <w:rPr>
                <w:rFonts w:hAnsi="宋体"/>
                <w:sz w:val="20"/>
                <w:szCs w:val="21"/>
              </w:rPr>
            </w:pPr>
            <w:r>
              <w:rPr>
                <w:rFonts w:hint="eastAsia" w:hAnsi="宋体"/>
                <w:sz w:val="20"/>
                <w:szCs w:val="21"/>
              </w:rPr>
              <w:t>20铲车</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6</w:t>
            </w:r>
          </w:p>
        </w:tc>
        <w:tc>
          <w:tcPr>
            <w:tcW w:w="2488" w:type="dxa"/>
            <w:shd w:val="clear" w:color="auto" w:fill="auto"/>
            <w:vAlign w:val="center"/>
          </w:tcPr>
          <w:p>
            <w:pPr>
              <w:jc w:val="center"/>
              <w:rPr>
                <w:rFonts w:hAnsi="宋体"/>
                <w:sz w:val="20"/>
                <w:szCs w:val="21"/>
              </w:rPr>
            </w:pPr>
            <w:r>
              <w:rPr>
                <w:rFonts w:hint="eastAsia" w:hAnsi="宋体"/>
                <w:sz w:val="20"/>
                <w:szCs w:val="21"/>
              </w:rPr>
              <w:t>30铲车</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7</w:t>
            </w:r>
          </w:p>
        </w:tc>
        <w:tc>
          <w:tcPr>
            <w:tcW w:w="2488" w:type="dxa"/>
            <w:shd w:val="clear" w:color="auto" w:fill="auto"/>
            <w:vAlign w:val="center"/>
          </w:tcPr>
          <w:p>
            <w:pPr>
              <w:jc w:val="center"/>
              <w:rPr>
                <w:rFonts w:hAnsi="宋体"/>
                <w:sz w:val="20"/>
                <w:szCs w:val="21"/>
              </w:rPr>
            </w:pPr>
            <w:r>
              <w:rPr>
                <w:rFonts w:hint="eastAsia" w:hAnsi="宋体"/>
                <w:sz w:val="20"/>
                <w:szCs w:val="21"/>
              </w:rPr>
              <w:t>50铲车</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8</w:t>
            </w:r>
          </w:p>
        </w:tc>
        <w:tc>
          <w:tcPr>
            <w:tcW w:w="2488" w:type="dxa"/>
            <w:shd w:val="clear" w:color="auto" w:fill="auto"/>
            <w:vAlign w:val="center"/>
          </w:tcPr>
          <w:p>
            <w:pPr>
              <w:jc w:val="center"/>
              <w:rPr>
                <w:rFonts w:hAnsi="宋体"/>
                <w:sz w:val="20"/>
                <w:szCs w:val="21"/>
              </w:rPr>
            </w:pPr>
            <w:r>
              <w:rPr>
                <w:rFonts w:hint="eastAsia" w:hAnsi="宋体"/>
                <w:sz w:val="20"/>
                <w:szCs w:val="21"/>
              </w:rPr>
              <w:t>18</w:t>
            </w:r>
            <w:r>
              <w:rPr>
                <w:rFonts w:hAnsi="宋体"/>
                <w:sz w:val="20"/>
                <w:szCs w:val="21"/>
              </w:rPr>
              <w:t>t</w:t>
            </w:r>
            <w:r>
              <w:rPr>
                <w:rFonts w:hint="eastAsia" w:hAnsi="宋体"/>
                <w:sz w:val="20"/>
                <w:szCs w:val="21"/>
              </w:rPr>
              <w:t>压路机（震动碾压）</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9</w:t>
            </w:r>
          </w:p>
        </w:tc>
        <w:tc>
          <w:tcPr>
            <w:tcW w:w="2488" w:type="dxa"/>
            <w:shd w:val="clear" w:color="auto" w:fill="auto"/>
            <w:vAlign w:val="center"/>
          </w:tcPr>
          <w:p>
            <w:pPr>
              <w:jc w:val="center"/>
              <w:rPr>
                <w:rFonts w:hAnsi="宋体"/>
                <w:sz w:val="20"/>
                <w:szCs w:val="21"/>
              </w:rPr>
            </w:pPr>
            <w:r>
              <w:rPr>
                <w:rFonts w:hint="eastAsia" w:hAnsi="宋体"/>
                <w:sz w:val="20"/>
                <w:szCs w:val="21"/>
              </w:rPr>
              <w:t>20</w:t>
            </w:r>
            <w:r>
              <w:rPr>
                <w:rFonts w:hAnsi="宋体"/>
                <w:sz w:val="20"/>
                <w:szCs w:val="21"/>
              </w:rPr>
              <w:t>t</w:t>
            </w:r>
            <w:r>
              <w:rPr>
                <w:rFonts w:hint="eastAsia" w:hAnsi="宋体"/>
                <w:sz w:val="20"/>
                <w:szCs w:val="21"/>
              </w:rPr>
              <w:t>压路机（震动碾压）</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10</w:t>
            </w:r>
          </w:p>
        </w:tc>
        <w:tc>
          <w:tcPr>
            <w:tcW w:w="2488" w:type="dxa"/>
            <w:shd w:val="clear" w:color="auto" w:fill="auto"/>
            <w:vAlign w:val="center"/>
          </w:tcPr>
          <w:p>
            <w:pPr>
              <w:jc w:val="center"/>
              <w:rPr>
                <w:rFonts w:hAnsi="宋体"/>
                <w:sz w:val="20"/>
                <w:szCs w:val="21"/>
              </w:rPr>
            </w:pPr>
            <w:r>
              <w:rPr>
                <w:rFonts w:hint="eastAsia" w:hAnsi="宋体"/>
                <w:sz w:val="20"/>
                <w:szCs w:val="21"/>
              </w:rPr>
              <w:t>22</w:t>
            </w:r>
            <w:r>
              <w:rPr>
                <w:rFonts w:hAnsi="宋体"/>
                <w:sz w:val="20"/>
                <w:szCs w:val="21"/>
              </w:rPr>
              <w:t>t</w:t>
            </w:r>
            <w:r>
              <w:rPr>
                <w:rFonts w:hint="eastAsia" w:hAnsi="宋体"/>
                <w:sz w:val="20"/>
                <w:szCs w:val="21"/>
              </w:rPr>
              <w:t>压路机（震动碾压）</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11</w:t>
            </w:r>
          </w:p>
        </w:tc>
        <w:tc>
          <w:tcPr>
            <w:tcW w:w="2488" w:type="dxa"/>
            <w:shd w:val="clear" w:color="auto" w:fill="auto"/>
            <w:vAlign w:val="center"/>
          </w:tcPr>
          <w:p>
            <w:pPr>
              <w:jc w:val="center"/>
              <w:rPr>
                <w:rFonts w:hAnsi="宋体"/>
                <w:sz w:val="20"/>
                <w:szCs w:val="21"/>
              </w:rPr>
            </w:pPr>
            <w:r>
              <w:rPr>
                <w:rFonts w:hint="eastAsia" w:hAnsi="宋体"/>
                <w:sz w:val="20"/>
                <w:szCs w:val="21"/>
              </w:rPr>
              <w:t>自卸汽车（后八轮）</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12</w:t>
            </w:r>
          </w:p>
        </w:tc>
        <w:tc>
          <w:tcPr>
            <w:tcW w:w="2488" w:type="dxa"/>
            <w:shd w:val="clear" w:color="auto" w:fill="auto"/>
            <w:vAlign w:val="center"/>
          </w:tcPr>
          <w:p>
            <w:pPr>
              <w:jc w:val="center"/>
              <w:rPr>
                <w:rFonts w:hAnsi="宋体"/>
                <w:sz w:val="20"/>
                <w:szCs w:val="21"/>
              </w:rPr>
            </w:pPr>
            <w:r>
              <w:rPr>
                <w:rFonts w:hint="eastAsia" w:hAnsi="宋体"/>
                <w:sz w:val="20"/>
                <w:szCs w:val="21"/>
              </w:rPr>
              <w:t>推土机</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9" w:type="dxa"/>
            <w:shd w:val="clear" w:color="auto" w:fill="auto"/>
            <w:vAlign w:val="center"/>
          </w:tcPr>
          <w:p>
            <w:pPr>
              <w:jc w:val="center"/>
              <w:rPr>
                <w:rFonts w:hAnsi="宋体"/>
                <w:sz w:val="20"/>
                <w:szCs w:val="21"/>
              </w:rPr>
            </w:pPr>
            <w:r>
              <w:rPr>
                <w:rFonts w:hint="eastAsia" w:hAnsi="宋体"/>
                <w:sz w:val="20"/>
                <w:szCs w:val="21"/>
              </w:rPr>
              <w:t>13</w:t>
            </w:r>
          </w:p>
        </w:tc>
        <w:tc>
          <w:tcPr>
            <w:tcW w:w="2488" w:type="dxa"/>
            <w:shd w:val="clear" w:color="auto" w:fill="auto"/>
            <w:vAlign w:val="center"/>
          </w:tcPr>
          <w:p>
            <w:pPr>
              <w:jc w:val="center"/>
              <w:rPr>
                <w:rFonts w:hAnsi="宋体"/>
                <w:sz w:val="20"/>
                <w:szCs w:val="21"/>
              </w:rPr>
            </w:pPr>
            <w:r>
              <w:rPr>
                <w:rFonts w:hint="eastAsia" w:hAnsi="宋体"/>
                <w:sz w:val="20"/>
                <w:szCs w:val="21"/>
              </w:rPr>
              <w:t>刮平机</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9" w:type="dxa"/>
            <w:shd w:val="clear" w:color="auto" w:fill="auto"/>
            <w:vAlign w:val="center"/>
          </w:tcPr>
          <w:p>
            <w:pPr>
              <w:jc w:val="center"/>
              <w:rPr>
                <w:rFonts w:hAnsi="宋体"/>
                <w:sz w:val="20"/>
                <w:szCs w:val="21"/>
              </w:rPr>
            </w:pPr>
            <w:r>
              <w:rPr>
                <w:rFonts w:hint="eastAsia" w:hAnsi="宋体"/>
                <w:sz w:val="20"/>
                <w:szCs w:val="21"/>
              </w:rPr>
              <w:t>14</w:t>
            </w:r>
          </w:p>
        </w:tc>
        <w:tc>
          <w:tcPr>
            <w:tcW w:w="2488" w:type="dxa"/>
            <w:shd w:val="clear" w:color="auto" w:fill="auto"/>
            <w:vAlign w:val="center"/>
          </w:tcPr>
          <w:p>
            <w:pPr>
              <w:jc w:val="center"/>
              <w:rPr>
                <w:rFonts w:hAnsi="宋体"/>
                <w:sz w:val="20"/>
                <w:szCs w:val="21"/>
              </w:rPr>
            </w:pPr>
            <w:r>
              <w:rPr>
                <w:rFonts w:hint="eastAsia" w:hAnsi="宋体"/>
                <w:sz w:val="20"/>
                <w:szCs w:val="21"/>
              </w:rPr>
              <w:t>平地机</w:t>
            </w:r>
          </w:p>
        </w:tc>
        <w:tc>
          <w:tcPr>
            <w:tcW w:w="1417" w:type="dxa"/>
            <w:shd w:val="clear" w:color="auto" w:fill="auto"/>
            <w:vAlign w:val="center"/>
          </w:tcPr>
          <w:p>
            <w:pPr>
              <w:jc w:val="center"/>
              <w:rPr>
                <w:sz w:val="20"/>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sz w:val="20"/>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9" w:type="dxa"/>
            <w:shd w:val="clear" w:color="auto" w:fill="auto"/>
            <w:vAlign w:val="center"/>
          </w:tcPr>
          <w:p>
            <w:pPr>
              <w:jc w:val="center"/>
              <w:rPr>
                <w:rFonts w:hAnsi="宋体"/>
                <w:sz w:val="20"/>
                <w:szCs w:val="21"/>
              </w:rPr>
            </w:pPr>
            <w:r>
              <w:rPr>
                <w:rFonts w:hAnsi="宋体"/>
                <w:sz w:val="20"/>
                <w:szCs w:val="21"/>
              </w:rPr>
              <w:t>15</w:t>
            </w:r>
          </w:p>
        </w:tc>
        <w:tc>
          <w:tcPr>
            <w:tcW w:w="2488" w:type="dxa"/>
            <w:shd w:val="clear" w:color="auto" w:fill="auto"/>
            <w:vAlign w:val="center"/>
          </w:tcPr>
          <w:p>
            <w:pPr>
              <w:jc w:val="center"/>
              <w:rPr>
                <w:rFonts w:hAnsi="宋体"/>
                <w:sz w:val="20"/>
                <w:szCs w:val="21"/>
              </w:rPr>
            </w:pPr>
            <w:r>
              <w:rPr>
                <w:rFonts w:hint="eastAsia" w:hAnsi="宋体"/>
                <w:sz w:val="20"/>
                <w:szCs w:val="21"/>
              </w:rPr>
              <w:t>机械锤破碎（2</w:t>
            </w:r>
            <w:r>
              <w:rPr>
                <w:rFonts w:hAnsi="宋体"/>
                <w:sz w:val="20"/>
                <w:szCs w:val="21"/>
              </w:rPr>
              <w:t>40</w:t>
            </w:r>
            <w:r>
              <w:rPr>
                <w:rFonts w:hint="eastAsia" w:hAnsi="宋体"/>
                <w:sz w:val="20"/>
                <w:szCs w:val="21"/>
              </w:rPr>
              <w:t>）</w:t>
            </w:r>
          </w:p>
        </w:tc>
        <w:tc>
          <w:tcPr>
            <w:tcW w:w="1417" w:type="dxa"/>
            <w:shd w:val="clear" w:color="auto" w:fill="auto"/>
            <w:vAlign w:val="center"/>
          </w:tcPr>
          <w:p>
            <w:pPr>
              <w:jc w:val="center"/>
              <w:rPr>
                <w:rFonts w:hAnsi="宋体"/>
                <w:sz w:val="20"/>
                <w:szCs w:val="21"/>
              </w:rPr>
            </w:pPr>
            <w:r>
              <w:rPr>
                <w:rFonts w:hint="eastAsia" w:hAnsi="宋体"/>
                <w:sz w:val="20"/>
                <w:szCs w:val="21"/>
              </w:rPr>
              <w:t>台班</w:t>
            </w:r>
          </w:p>
        </w:tc>
        <w:tc>
          <w:tcPr>
            <w:tcW w:w="2127" w:type="dxa"/>
            <w:shd w:val="clear" w:color="auto" w:fill="auto"/>
            <w:vAlign w:val="center"/>
          </w:tcPr>
          <w:p>
            <w:pPr>
              <w:jc w:val="center"/>
              <w:rPr>
                <w:rFonts w:hAnsi="宋体"/>
                <w:sz w:val="20"/>
                <w:szCs w:val="21"/>
              </w:rPr>
            </w:pPr>
          </w:p>
        </w:tc>
        <w:tc>
          <w:tcPr>
            <w:tcW w:w="2322" w:type="dxa"/>
            <w:shd w:val="clear" w:color="auto" w:fill="auto"/>
            <w:vAlign w:val="center"/>
          </w:tcPr>
          <w:p>
            <w:pPr>
              <w:jc w:val="center"/>
              <w:rPr>
                <w:rFonts w:hAnsi="宋体"/>
                <w:sz w:val="20"/>
                <w:szCs w:val="21"/>
              </w:rPr>
            </w:pPr>
            <w:r>
              <w:rPr>
                <w:rFonts w:hint="eastAsia" w:hAnsi="宋体"/>
                <w:sz w:val="20"/>
                <w:szCs w:val="21"/>
              </w:rPr>
              <w:t>每台班8小时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9" w:type="dxa"/>
            <w:vAlign w:val="center"/>
          </w:tcPr>
          <w:p>
            <w:pPr>
              <w:jc w:val="center"/>
              <w:rPr>
                <w:rFonts w:hAnsi="宋体"/>
                <w:sz w:val="20"/>
                <w:szCs w:val="21"/>
              </w:rPr>
            </w:pPr>
            <w:r>
              <w:rPr>
                <w:rFonts w:hint="eastAsia" w:hAnsi="宋体"/>
                <w:sz w:val="20"/>
                <w:szCs w:val="21"/>
              </w:rPr>
              <w:t>1</w:t>
            </w:r>
            <w:r>
              <w:rPr>
                <w:rFonts w:hAnsi="宋体"/>
                <w:sz w:val="20"/>
                <w:szCs w:val="21"/>
              </w:rPr>
              <w:t>6</w:t>
            </w:r>
          </w:p>
        </w:tc>
        <w:tc>
          <w:tcPr>
            <w:tcW w:w="2488" w:type="dxa"/>
            <w:vAlign w:val="center"/>
          </w:tcPr>
          <w:p>
            <w:pPr>
              <w:jc w:val="center"/>
              <w:rPr>
                <w:rFonts w:hAnsi="宋体"/>
                <w:sz w:val="20"/>
                <w:szCs w:val="21"/>
              </w:rPr>
            </w:pPr>
            <w:r>
              <w:rPr>
                <w:rFonts w:hint="eastAsia" w:hAnsi="宋体"/>
                <w:sz w:val="20"/>
                <w:szCs w:val="21"/>
              </w:rPr>
              <w:t>多功能洒水车(</w:t>
            </w:r>
            <w:r>
              <w:rPr>
                <w:rFonts w:hAnsi="宋体"/>
                <w:sz w:val="20"/>
                <w:szCs w:val="21"/>
              </w:rPr>
              <w:t>1</w:t>
            </w:r>
            <w:r>
              <w:rPr>
                <w:rFonts w:hint="eastAsia" w:hAnsi="宋体"/>
                <w:sz w:val="20"/>
                <w:szCs w:val="21"/>
              </w:rPr>
              <w:t>0</w:t>
            </w:r>
            <w:r>
              <w:rPr>
                <w:rFonts w:hAnsi="宋体"/>
                <w:sz w:val="20"/>
                <w:szCs w:val="21"/>
              </w:rPr>
              <w:t>m³)</w:t>
            </w:r>
          </w:p>
        </w:tc>
        <w:tc>
          <w:tcPr>
            <w:tcW w:w="1417" w:type="dxa"/>
            <w:vAlign w:val="center"/>
          </w:tcPr>
          <w:p>
            <w:pPr>
              <w:jc w:val="center"/>
              <w:rPr>
                <w:rFonts w:hAnsi="宋体"/>
                <w:sz w:val="20"/>
                <w:szCs w:val="21"/>
              </w:rPr>
            </w:pPr>
            <w:r>
              <w:rPr>
                <w:rFonts w:hint="eastAsia" w:hAnsi="宋体"/>
                <w:sz w:val="20"/>
                <w:szCs w:val="21"/>
              </w:rPr>
              <w:t>台班</w:t>
            </w:r>
          </w:p>
        </w:tc>
        <w:tc>
          <w:tcPr>
            <w:tcW w:w="2127" w:type="dxa"/>
            <w:vAlign w:val="center"/>
          </w:tcPr>
          <w:p>
            <w:pPr>
              <w:jc w:val="center"/>
              <w:rPr>
                <w:rFonts w:hAnsi="宋体"/>
                <w:sz w:val="20"/>
                <w:szCs w:val="21"/>
              </w:rPr>
            </w:pPr>
          </w:p>
        </w:tc>
        <w:tc>
          <w:tcPr>
            <w:tcW w:w="2322" w:type="dxa"/>
            <w:vAlign w:val="center"/>
          </w:tcPr>
          <w:p>
            <w:pPr>
              <w:jc w:val="center"/>
              <w:rPr>
                <w:rFonts w:hAnsi="宋体"/>
                <w:sz w:val="20"/>
                <w:szCs w:val="21"/>
              </w:rPr>
            </w:pPr>
            <w:r>
              <w:rPr>
                <w:rFonts w:hint="eastAsia" w:hAnsi="宋体"/>
                <w:sz w:val="20"/>
                <w:szCs w:val="21"/>
              </w:rPr>
              <w:t>每台班8小时，自备水源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9" w:type="dxa"/>
            <w:vAlign w:val="center"/>
          </w:tcPr>
          <w:p>
            <w:pPr>
              <w:jc w:val="center"/>
              <w:rPr>
                <w:rFonts w:hAnsi="宋体"/>
                <w:sz w:val="20"/>
                <w:szCs w:val="21"/>
              </w:rPr>
            </w:pPr>
            <w:r>
              <w:rPr>
                <w:rFonts w:hint="eastAsia" w:hAnsi="宋体"/>
                <w:sz w:val="20"/>
                <w:szCs w:val="21"/>
              </w:rPr>
              <w:t>1</w:t>
            </w:r>
            <w:r>
              <w:rPr>
                <w:rFonts w:hAnsi="宋体"/>
                <w:sz w:val="20"/>
                <w:szCs w:val="21"/>
              </w:rPr>
              <w:t>7</w:t>
            </w:r>
          </w:p>
        </w:tc>
        <w:tc>
          <w:tcPr>
            <w:tcW w:w="2488" w:type="dxa"/>
            <w:vAlign w:val="center"/>
          </w:tcPr>
          <w:p>
            <w:pPr>
              <w:jc w:val="center"/>
              <w:rPr>
                <w:rFonts w:hAnsi="宋体"/>
                <w:sz w:val="20"/>
                <w:szCs w:val="21"/>
              </w:rPr>
            </w:pPr>
            <w:r>
              <w:rPr>
                <w:rFonts w:hint="eastAsia" w:hAnsi="宋体"/>
                <w:sz w:val="20"/>
                <w:szCs w:val="21"/>
              </w:rPr>
              <w:t>多功能洒水车(</w:t>
            </w:r>
            <w:r>
              <w:rPr>
                <w:rFonts w:hAnsi="宋体"/>
                <w:sz w:val="20"/>
                <w:szCs w:val="21"/>
              </w:rPr>
              <w:t>1</w:t>
            </w:r>
            <w:r>
              <w:rPr>
                <w:rFonts w:hint="eastAsia" w:hAnsi="宋体"/>
                <w:sz w:val="20"/>
                <w:szCs w:val="21"/>
              </w:rPr>
              <w:t>2</w:t>
            </w:r>
            <w:r>
              <w:rPr>
                <w:rFonts w:hAnsi="宋体"/>
                <w:sz w:val="20"/>
                <w:szCs w:val="21"/>
              </w:rPr>
              <w:t>m³)</w:t>
            </w:r>
          </w:p>
        </w:tc>
        <w:tc>
          <w:tcPr>
            <w:tcW w:w="1417" w:type="dxa"/>
            <w:vAlign w:val="center"/>
          </w:tcPr>
          <w:p>
            <w:pPr>
              <w:jc w:val="center"/>
              <w:rPr>
                <w:rFonts w:hAnsi="宋体"/>
                <w:sz w:val="20"/>
                <w:szCs w:val="21"/>
              </w:rPr>
            </w:pPr>
            <w:r>
              <w:rPr>
                <w:rFonts w:hint="eastAsia" w:hAnsi="宋体"/>
                <w:sz w:val="20"/>
                <w:szCs w:val="21"/>
              </w:rPr>
              <w:t>台班</w:t>
            </w:r>
          </w:p>
        </w:tc>
        <w:tc>
          <w:tcPr>
            <w:tcW w:w="2127" w:type="dxa"/>
            <w:vAlign w:val="center"/>
          </w:tcPr>
          <w:p>
            <w:pPr>
              <w:jc w:val="center"/>
              <w:rPr>
                <w:rFonts w:hAnsi="宋体"/>
                <w:sz w:val="20"/>
                <w:szCs w:val="21"/>
              </w:rPr>
            </w:pPr>
          </w:p>
        </w:tc>
        <w:tc>
          <w:tcPr>
            <w:tcW w:w="2322" w:type="dxa"/>
            <w:vAlign w:val="center"/>
          </w:tcPr>
          <w:p>
            <w:pPr>
              <w:jc w:val="center"/>
              <w:rPr>
                <w:rFonts w:hAnsi="宋体"/>
                <w:sz w:val="20"/>
                <w:szCs w:val="21"/>
              </w:rPr>
            </w:pPr>
            <w:r>
              <w:rPr>
                <w:rFonts w:hint="eastAsia" w:hAnsi="宋体"/>
                <w:sz w:val="20"/>
                <w:szCs w:val="21"/>
              </w:rPr>
              <w:t>每台班8小时，自备水源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9" w:type="dxa"/>
            <w:vAlign w:val="center"/>
          </w:tcPr>
          <w:p>
            <w:pPr>
              <w:jc w:val="center"/>
              <w:rPr>
                <w:rFonts w:hAnsi="宋体"/>
                <w:sz w:val="20"/>
                <w:szCs w:val="21"/>
              </w:rPr>
            </w:pPr>
            <w:r>
              <w:rPr>
                <w:rFonts w:hint="eastAsia" w:hAnsi="宋体"/>
                <w:sz w:val="20"/>
                <w:szCs w:val="21"/>
              </w:rPr>
              <w:t>1</w:t>
            </w:r>
            <w:r>
              <w:rPr>
                <w:rFonts w:hAnsi="宋体"/>
                <w:sz w:val="20"/>
                <w:szCs w:val="21"/>
              </w:rPr>
              <w:t>8</w:t>
            </w:r>
          </w:p>
        </w:tc>
        <w:tc>
          <w:tcPr>
            <w:tcW w:w="2488" w:type="dxa"/>
            <w:vAlign w:val="center"/>
          </w:tcPr>
          <w:p>
            <w:pPr>
              <w:jc w:val="center"/>
              <w:rPr>
                <w:rFonts w:hAnsi="宋体"/>
                <w:sz w:val="20"/>
                <w:szCs w:val="21"/>
              </w:rPr>
            </w:pPr>
            <w:r>
              <w:rPr>
                <w:rFonts w:hint="eastAsia" w:hAnsi="宋体"/>
                <w:sz w:val="20"/>
                <w:szCs w:val="21"/>
              </w:rPr>
              <w:t>计日工</w:t>
            </w:r>
          </w:p>
        </w:tc>
        <w:tc>
          <w:tcPr>
            <w:tcW w:w="1417" w:type="dxa"/>
            <w:vAlign w:val="center"/>
          </w:tcPr>
          <w:p>
            <w:pPr>
              <w:jc w:val="center"/>
              <w:rPr>
                <w:rFonts w:hAnsi="宋体"/>
                <w:sz w:val="20"/>
                <w:szCs w:val="21"/>
              </w:rPr>
            </w:pPr>
            <w:r>
              <w:rPr>
                <w:rFonts w:hint="eastAsia" w:hAnsi="宋体"/>
                <w:sz w:val="20"/>
                <w:szCs w:val="21"/>
              </w:rPr>
              <w:t>工日</w:t>
            </w:r>
          </w:p>
        </w:tc>
        <w:tc>
          <w:tcPr>
            <w:tcW w:w="2127" w:type="dxa"/>
            <w:vAlign w:val="center"/>
          </w:tcPr>
          <w:p>
            <w:pPr>
              <w:jc w:val="center"/>
              <w:rPr>
                <w:rFonts w:hAnsi="宋体"/>
                <w:sz w:val="20"/>
                <w:szCs w:val="21"/>
              </w:rPr>
            </w:pPr>
          </w:p>
        </w:tc>
        <w:tc>
          <w:tcPr>
            <w:tcW w:w="2322" w:type="dxa"/>
            <w:vAlign w:val="center"/>
          </w:tcPr>
          <w:p>
            <w:pPr>
              <w:jc w:val="center"/>
              <w:rPr>
                <w:rFonts w:hAnsi="宋体"/>
                <w:sz w:val="20"/>
                <w:szCs w:val="21"/>
              </w:rPr>
            </w:pPr>
            <w:r>
              <w:rPr>
                <w:rFonts w:hint="eastAsia" w:hAnsi="宋体"/>
                <w:sz w:val="20"/>
                <w:szCs w:val="21"/>
              </w:rPr>
              <w:t>每工日10小时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9" w:type="dxa"/>
            <w:vAlign w:val="center"/>
          </w:tcPr>
          <w:p>
            <w:pPr>
              <w:jc w:val="center"/>
              <w:rPr>
                <w:rFonts w:hAnsi="宋体"/>
                <w:sz w:val="20"/>
                <w:szCs w:val="21"/>
              </w:rPr>
            </w:pPr>
            <w:r>
              <w:rPr>
                <w:rFonts w:hint="eastAsia" w:hAnsi="宋体"/>
                <w:sz w:val="20"/>
                <w:szCs w:val="21"/>
              </w:rPr>
              <w:t>19</w:t>
            </w:r>
          </w:p>
        </w:tc>
        <w:tc>
          <w:tcPr>
            <w:tcW w:w="2488" w:type="dxa"/>
            <w:vAlign w:val="center"/>
          </w:tcPr>
          <w:p>
            <w:pPr>
              <w:jc w:val="center"/>
              <w:rPr>
                <w:rFonts w:hAnsi="宋体"/>
                <w:sz w:val="20"/>
                <w:szCs w:val="21"/>
              </w:rPr>
            </w:pPr>
            <w:r>
              <w:rPr>
                <w:rFonts w:hint="eastAsia" w:hAnsi="宋体"/>
                <w:sz w:val="20"/>
                <w:szCs w:val="21"/>
              </w:rPr>
              <w:t>建筑垃圾清运(</w:t>
            </w:r>
            <w:r>
              <w:rPr>
                <w:rFonts w:hAnsi="宋体"/>
                <w:sz w:val="20"/>
                <w:szCs w:val="21"/>
              </w:rPr>
              <w:t>15m³)</w:t>
            </w:r>
          </w:p>
        </w:tc>
        <w:tc>
          <w:tcPr>
            <w:tcW w:w="1417" w:type="dxa"/>
            <w:vAlign w:val="center"/>
          </w:tcPr>
          <w:p>
            <w:pPr>
              <w:jc w:val="center"/>
              <w:rPr>
                <w:rFonts w:hAnsi="宋体"/>
                <w:sz w:val="20"/>
                <w:szCs w:val="21"/>
              </w:rPr>
            </w:pPr>
            <w:r>
              <w:rPr>
                <w:rFonts w:hint="eastAsia" w:hAnsi="宋体"/>
                <w:sz w:val="20"/>
                <w:szCs w:val="21"/>
              </w:rPr>
              <w:t>车</w:t>
            </w:r>
          </w:p>
        </w:tc>
        <w:tc>
          <w:tcPr>
            <w:tcW w:w="2127" w:type="dxa"/>
            <w:vAlign w:val="center"/>
          </w:tcPr>
          <w:p>
            <w:pPr>
              <w:jc w:val="center"/>
              <w:rPr>
                <w:rFonts w:hAnsi="宋体"/>
                <w:sz w:val="20"/>
                <w:szCs w:val="21"/>
              </w:rPr>
            </w:pPr>
          </w:p>
        </w:tc>
        <w:tc>
          <w:tcPr>
            <w:tcW w:w="2322" w:type="dxa"/>
            <w:vAlign w:val="center"/>
          </w:tcPr>
          <w:p>
            <w:pPr>
              <w:jc w:val="center"/>
              <w:rPr>
                <w:rFonts w:hAnsi="宋体"/>
                <w:sz w:val="20"/>
                <w:szCs w:val="21"/>
              </w:rPr>
            </w:pPr>
            <w:r>
              <w:rPr>
                <w:rFonts w:hint="eastAsia" w:hAnsi="宋体"/>
                <w:sz w:val="20"/>
                <w:szCs w:val="21"/>
              </w:rPr>
              <w:t>含装车、司机、运输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9" w:type="dxa"/>
            <w:vAlign w:val="center"/>
          </w:tcPr>
          <w:p>
            <w:pPr>
              <w:jc w:val="center"/>
              <w:rPr>
                <w:rFonts w:hAnsi="宋体"/>
                <w:sz w:val="20"/>
                <w:szCs w:val="21"/>
              </w:rPr>
            </w:pPr>
            <w:r>
              <w:rPr>
                <w:rFonts w:hint="eastAsia" w:hAnsi="宋体"/>
                <w:sz w:val="20"/>
                <w:szCs w:val="21"/>
              </w:rPr>
              <w:t>20</w:t>
            </w:r>
          </w:p>
        </w:tc>
        <w:tc>
          <w:tcPr>
            <w:tcW w:w="2488" w:type="dxa"/>
            <w:vAlign w:val="center"/>
          </w:tcPr>
          <w:p>
            <w:pPr>
              <w:jc w:val="center"/>
              <w:rPr>
                <w:rFonts w:hAnsi="宋体"/>
                <w:sz w:val="20"/>
                <w:szCs w:val="21"/>
              </w:rPr>
            </w:pPr>
            <w:r>
              <w:rPr>
                <w:rFonts w:hint="eastAsia" w:hAnsi="宋体"/>
                <w:sz w:val="20"/>
                <w:szCs w:val="21"/>
              </w:rPr>
              <w:t>生活垃圾清运</w:t>
            </w:r>
          </w:p>
          <w:p>
            <w:pPr>
              <w:jc w:val="center"/>
              <w:rPr>
                <w:rFonts w:hAnsi="宋体"/>
                <w:sz w:val="20"/>
                <w:szCs w:val="21"/>
              </w:rPr>
            </w:pPr>
            <w:r>
              <w:rPr>
                <w:rFonts w:hint="eastAsia" w:hAnsi="宋体"/>
                <w:sz w:val="20"/>
                <w:szCs w:val="21"/>
              </w:rPr>
              <w:t>（垃圾清运专用车）</w:t>
            </w:r>
          </w:p>
        </w:tc>
        <w:tc>
          <w:tcPr>
            <w:tcW w:w="1417" w:type="dxa"/>
            <w:vAlign w:val="center"/>
          </w:tcPr>
          <w:p>
            <w:pPr>
              <w:jc w:val="center"/>
              <w:rPr>
                <w:rFonts w:hAnsi="宋体"/>
                <w:sz w:val="20"/>
                <w:szCs w:val="21"/>
              </w:rPr>
            </w:pPr>
            <w:r>
              <w:rPr>
                <w:rFonts w:hint="eastAsia" w:hAnsi="宋体"/>
                <w:sz w:val="20"/>
                <w:szCs w:val="21"/>
              </w:rPr>
              <w:t>车</w:t>
            </w:r>
          </w:p>
        </w:tc>
        <w:tc>
          <w:tcPr>
            <w:tcW w:w="2127" w:type="dxa"/>
            <w:vAlign w:val="center"/>
          </w:tcPr>
          <w:p>
            <w:pPr>
              <w:jc w:val="center"/>
              <w:rPr>
                <w:rFonts w:hAnsi="宋体"/>
                <w:sz w:val="20"/>
                <w:szCs w:val="21"/>
              </w:rPr>
            </w:pPr>
          </w:p>
        </w:tc>
        <w:tc>
          <w:tcPr>
            <w:tcW w:w="2322" w:type="dxa"/>
            <w:vAlign w:val="center"/>
          </w:tcPr>
          <w:p>
            <w:pPr>
              <w:jc w:val="center"/>
              <w:rPr>
                <w:rFonts w:hAnsi="宋体"/>
                <w:sz w:val="20"/>
                <w:szCs w:val="21"/>
              </w:rPr>
            </w:pPr>
            <w:r>
              <w:rPr>
                <w:rFonts w:hint="eastAsia" w:hAnsi="宋体"/>
                <w:sz w:val="20"/>
                <w:szCs w:val="21"/>
              </w:rPr>
              <w:t>含装车、司机、运输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227" w:type="dxa"/>
            <w:gridSpan w:val="2"/>
            <w:vAlign w:val="center"/>
          </w:tcPr>
          <w:p>
            <w:pPr>
              <w:jc w:val="center"/>
              <w:rPr>
                <w:rFonts w:hAnsi="宋体"/>
                <w:sz w:val="20"/>
                <w:szCs w:val="21"/>
              </w:rPr>
            </w:pPr>
            <w:r>
              <w:rPr>
                <w:rFonts w:hint="eastAsia" w:hAnsi="宋体"/>
                <w:sz w:val="20"/>
                <w:szCs w:val="21"/>
              </w:rPr>
              <w:t>对报价需要</w:t>
            </w:r>
          </w:p>
          <w:p>
            <w:pPr>
              <w:jc w:val="center"/>
              <w:rPr>
                <w:rFonts w:hAnsi="宋体"/>
                <w:sz w:val="20"/>
                <w:szCs w:val="21"/>
              </w:rPr>
            </w:pPr>
            <w:r>
              <w:rPr>
                <w:rFonts w:hint="eastAsia" w:hAnsi="宋体"/>
                <w:sz w:val="20"/>
                <w:szCs w:val="21"/>
              </w:rPr>
              <w:t>说明的问题</w:t>
            </w:r>
          </w:p>
        </w:tc>
        <w:tc>
          <w:tcPr>
            <w:tcW w:w="5866" w:type="dxa"/>
            <w:gridSpan w:val="3"/>
            <w:vAlign w:val="center"/>
          </w:tcPr>
          <w:p>
            <w:pPr>
              <w:jc w:val="center"/>
              <w:rPr>
                <w:rFonts w:hAnsi="宋体"/>
                <w:sz w:val="20"/>
                <w:szCs w:val="21"/>
              </w:rPr>
            </w:pPr>
            <w:r>
              <w:rPr>
                <w:rFonts w:hint="eastAsia" w:hAnsi="宋体"/>
                <w:sz w:val="20"/>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3227" w:type="dxa"/>
            <w:gridSpan w:val="2"/>
            <w:vAlign w:val="center"/>
          </w:tcPr>
          <w:p>
            <w:pPr>
              <w:jc w:val="center"/>
              <w:rPr>
                <w:rFonts w:hAnsi="宋体"/>
                <w:sz w:val="20"/>
                <w:szCs w:val="21"/>
              </w:rPr>
            </w:pPr>
            <w:r>
              <w:rPr>
                <w:rFonts w:hint="eastAsia" w:hAnsi="宋体"/>
                <w:sz w:val="20"/>
                <w:szCs w:val="21"/>
              </w:rPr>
              <w:t>投标人签字、盖章</w:t>
            </w:r>
          </w:p>
        </w:tc>
        <w:tc>
          <w:tcPr>
            <w:tcW w:w="5866" w:type="dxa"/>
            <w:gridSpan w:val="3"/>
            <w:vAlign w:val="center"/>
          </w:tcPr>
          <w:p>
            <w:pPr>
              <w:jc w:val="center"/>
              <w:rPr>
                <w:rFonts w:hAnsi="宋体"/>
                <w:sz w:val="20"/>
                <w:szCs w:val="21"/>
              </w:rPr>
            </w:pPr>
          </w:p>
        </w:tc>
      </w:tr>
    </w:tbl>
    <w:p>
      <w:pPr>
        <w:jc w:val="left"/>
        <w:rPr>
          <w:rFonts w:hAnsi="宋体" w:cs="宋体"/>
          <w:b/>
          <w:bCs/>
          <w:sz w:val="21"/>
          <w:szCs w:val="21"/>
        </w:rPr>
      </w:pPr>
    </w:p>
    <w:p>
      <w:pPr>
        <w:rPr>
          <w:rFonts w:hAnsi="宋体" w:cs="宋体"/>
          <w:b/>
          <w:bCs/>
          <w:sz w:val="21"/>
          <w:szCs w:val="21"/>
        </w:rPr>
      </w:pPr>
      <w:r>
        <w:rPr>
          <w:rFonts w:hint="eastAsia" w:hAnsi="宋体" w:cs="宋体"/>
          <w:b/>
          <w:bCs/>
          <w:sz w:val="21"/>
          <w:szCs w:val="21"/>
        </w:rPr>
        <w:t>本表由投标单位填写，根据自身情况进行报价，包含司机及燃油费用等。招标人现场零星使用施工机械有自主选择权，不承诺使用承包人机械。</w:t>
      </w:r>
    </w:p>
    <w:p>
      <w:pPr>
        <w:widowControl/>
        <w:jc w:val="left"/>
        <w:rPr>
          <w:rFonts w:hAnsi="MS Sans Serif"/>
          <w:spacing w:val="12"/>
          <w:sz w:val="24"/>
        </w:rPr>
      </w:pPr>
    </w:p>
    <w:p>
      <w:pPr>
        <w:spacing w:line="400" w:lineRule="exact"/>
        <w:jc w:val="center"/>
        <w:outlineLvl w:val="1"/>
        <w:rPr>
          <w:rFonts w:hAnsi="宋体" w:cs="宋体"/>
          <w:b/>
          <w:sz w:val="32"/>
          <w:szCs w:val="32"/>
        </w:rPr>
      </w:pPr>
      <w:r>
        <w:rPr>
          <w:rFonts w:hint="eastAsia" w:hAnsi="宋体" w:cs="宋体"/>
          <w:b/>
          <w:sz w:val="32"/>
          <w:szCs w:val="32"/>
        </w:rPr>
        <w:t>（七）承诺书</w:t>
      </w:r>
    </w:p>
    <w:p>
      <w:pPr>
        <w:spacing w:beforeLines="100" w:afterLines="100"/>
        <w:jc w:val="center"/>
        <w:rPr>
          <w:rFonts w:hAnsi="宋体" w:cs="宋体"/>
          <w:b/>
          <w:bCs/>
          <w:sz w:val="44"/>
          <w:szCs w:val="44"/>
        </w:rPr>
      </w:pPr>
      <w:r>
        <w:rPr>
          <w:rFonts w:hint="eastAsia" w:hAnsi="宋体" w:cs="宋体"/>
          <w:b/>
          <w:bCs/>
          <w:sz w:val="44"/>
          <w:szCs w:val="44"/>
        </w:rPr>
        <w:t>承诺书</w:t>
      </w:r>
    </w:p>
    <w:p>
      <w:pPr>
        <w:spacing w:afterLines="100" w:line="360" w:lineRule="auto"/>
        <w:rPr>
          <w:rFonts w:hAnsi="宋体" w:cs="宋体"/>
          <w:sz w:val="24"/>
          <w:szCs w:val="24"/>
        </w:rPr>
      </w:pPr>
      <w:r>
        <w:rPr>
          <w:rFonts w:hint="eastAsia" w:hAnsi="宋体" w:cs="宋体"/>
          <w:bCs/>
          <w:spacing w:val="8"/>
          <w:sz w:val="24"/>
          <w:szCs w:val="24"/>
          <w:u w:val="single"/>
        </w:rPr>
        <w:t>河北建工集团有限责任公司</w:t>
      </w:r>
      <w:r>
        <w:rPr>
          <w:rFonts w:hint="eastAsia" w:hAnsi="宋体" w:cs="宋体"/>
          <w:sz w:val="24"/>
          <w:szCs w:val="24"/>
        </w:rPr>
        <w:t>（招标人名称）：</w:t>
      </w:r>
    </w:p>
    <w:p>
      <w:pPr>
        <w:spacing w:line="360" w:lineRule="auto"/>
        <w:ind w:firstLine="480" w:firstLineChars="200"/>
        <w:rPr>
          <w:rFonts w:hAnsi="宋体" w:cs="宋体"/>
          <w:sz w:val="24"/>
          <w:szCs w:val="24"/>
        </w:rPr>
      </w:pPr>
      <w:r>
        <w:rPr>
          <w:rFonts w:hint="eastAsia" w:hAnsi="宋体" w:cs="宋体"/>
          <w:sz w:val="24"/>
          <w:szCs w:val="24"/>
        </w:rPr>
        <w:t>我方在此声明，我方如中标河北建工集团承建的</w:t>
      </w:r>
      <w:r>
        <w:rPr>
          <w:rFonts w:hint="eastAsia" w:hAnsi="宋体" w:cs="宋体"/>
          <w:sz w:val="24"/>
          <w:szCs w:val="24"/>
          <w:u w:val="single"/>
        </w:rPr>
        <w:t>容东片区C组团安置房及配套设施项目</w:t>
      </w:r>
      <w:r>
        <w:rPr>
          <w:rFonts w:hint="eastAsia" w:hAnsi="宋体" w:cs="宋体"/>
          <w:sz w:val="24"/>
          <w:szCs w:val="24"/>
        </w:rPr>
        <w:t>土方工程专业分包（以下简称“本工程”），自愿作出如下承诺：</w:t>
      </w:r>
    </w:p>
    <w:p>
      <w:pPr>
        <w:numPr>
          <w:ilvl w:val="0"/>
          <w:numId w:val="7"/>
        </w:numPr>
        <w:spacing w:line="360" w:lineRule="auto"/>
        <w:ind w:firstLine="480" w:firstLineChars="200"/>
        <w:rPr>
          <w:rFonts w:hAnsi="宋体" w:cs="宋体"/>
          <w:sz w:val="24"/>
          <w:szCs w:val="24"/>
        </w:rPr>
      </w:pPr>
      <w:r>
        <w:rPr>
          <w:rFonts w:hint="eastAsia" w:hAnsi="宋体" w:cs="宋体"/>
          <w:sz w:val="24"/>
          <w:szCs w:val="24"/>
        </w:rPr>
        <w:t>承诺承包范围内所有对外协调及手续办理均由我方负责，如因此类问题给招标人造成不良影响及损失的，均由我方负责，我方自愿接受招标人任何处罚。</w:t>
      </w:r>
    </w:p>
    <w:p>
      <w:pPr>
        <w:numPr>
          <w:ilvl w:val="0"/>
          <w:numId w:val="7"/>
        </w:numPr>
        <w:spacing w:line="360" w:lineRule="auto"/>
        <w:ind w:firstLine="480" w:firstLineChars="200"/>
        <w:rPr>
          <w:rFonts w:hAnsi="宋体" w:cs="宋体"/>
          <w:sz w:val="24"/>
          <w:szCs w:val="24"/>
        </w:rPr>
      </w:pPr>
      <w:r>
        <w:rPr>
          <w:rFonts w:hint="eastAsia" w:hAnsi="宋体" w:cs="宋体"/>
          <w:sz w:val="24"/>
          <w:szCs w:val="24"/>
        </w:rPr>
        <w:t>严格按照招标文件及合同相关规定做好现场的安全文明施工及扬尘治理工作，达到招标人及政府相关部门要求的标准，如不能达到自愿接受相关处罚。</w:t>
      </w:r>
    </w:p>
    <w:p>
      <w:pPr>
        <w:numPr>
          <w:ilvl w:val="0"/>
          <w:numId w:val="7"/>
        </w:numPr>
        <w:spacing w:line="360" w:lineRule="auto"/>
        <w:ind w:firstLine="480" w:firstLineChars="200"/>
        <w:rPr>
          <w:rFonts w:hAnsi="宋体" w:cs="宋体"/>
          <w:sz w:val="24"/>
          <w:szCs w:val="24"/>
        </w:rPr>
      </w:pPr>
      <w:r>
        <w:rPr>
          <w:rFonts w:hint="eastAsia" w:hAnsi="宋体" w:cs="宋体"/>
          <w:sz w:val="24"/>
          <w:szCs w:val="24"/>
        </w:rPr>
        <w:t>承诺现场不发生堵门、打架斗殴等违法不良现象，如有发生招标人有权终止合同，我方自愿放弃承包人资格并接受招标人及相关部门的任何处罚。</w:t>
      </w:r>
    </w:p>
    <w:p>
      <w:pPr>
        <w:numPr>
          <w:ilvl w:val="0"/>
          <w:numId w:val="7"/>
        </w:numPr>
        <w:spacing w:line="360" w:lineRule="auto"/>
        <w:ind w:firstLine="480" w:firstLineChars="200"/>
        <w:rPr>
          <w:rFonts w:hAnsi="宋体" w:cs="宋体"/>
          <w:sz w:val="24"/>
          <w:szCs w:val="24"/>
        </w:rPr>
      </w:pPr>
      <w:r>
        <w:rPr>
          <w:rFonts w:hint="eastAsia" w:hAnsi="宋体" w:cs="宋体"/>
          <w:sz w:val="24"/>
          <w:szCs w:val="24"/>
        </w:rPr>
        <w:t>承诺在招标人要求的期限内办理完毕相关通行手续，如我方不能按承诺办理完成，招标人有权终止合同，我方自愿放弃中标资格并承担经济损失</w:t>
      </w:r>
    </w:p>
    <w:p>
      <w:pPr>
        <w:numPr>
          <w:ilvl w:val="0"/>
          <w:numId w:val="7"/>
        </w:numPr>
        <w:spacing w:line="360" w:lineRule="auto"/>
        <w:ind w:firstLine="480" w:firstLineChars="200"/>
        <w:rPr>
          <w:rFonts w:hAnsi="宋体" w:cs="宋体"/>
          <w:sz w:val="24"/>
          <w:szCs w:val="24"/>
        </w:rPr>
      </w:pPr>
      <w:r>
        <w:rPr>
          <w:rFonts w:hint="eastAsia" w:hAnsi="宋体" w:cs="宋体"/>
          <w:sz w:val="24"/>
          <w:szCs w:val="24"/>
        </w:rPr>
        <w:t>承诺有足够机械及运输车辆满足招标人现场生产进度要求，如不能满足，招标人有权终止合同，我方自愿放弃承包人资格并承担一切经济损失。</w:t>
      </w:r>
    </w:p>
    <w:p>
      <w:pPr>
        <w:numPr>
          <w:ilvl w:val="0"/>
          <w:numId w:val="7"/>
        </w:numPr>
        <w:spacing w:line="360" w:lineRule="auto"/>
        <w:ind w:firstLine="480" w:firstLineChars="200"/>
        <w:rPr>
          <w:rFonts w:hAnsi="宋体" w:cs="宋体"/>
          <w:sz w:val="24"/>
          <w:szCs w:val="24"/>
        </w:rPr>
      </w:pPr>
      <w:r>
        <w:rPr>
          <w:rFonts w:hint="eastAsia" w:hAnsi="宋体" w:cs="宋体"/>
          <w:sz w:val="24"/>
          <w:szCs w:val="24"/>
        </w:rPr>
        <w:t>承诺严格服从招标人现场管理，做到令行禁止，如有发生招标人有权终止合同，我方自愿放弃承包人资格并接受任何处罚。</w:t>
      </w:r>
    </w:p>
    <w:p>
      <w:pPr>
        <w:spacing w:line="360" w:lineRule="auto"/>
        <w:ind w:firstLine="480" w:firstLineChars="200"/>
        <w:rPr>
          <w:rFonts w:hAnsi="宋体" w:cs="宋体"/>
          <w:sz w:val="24"/>
          <w:szCs w:val="24"/>
        </w:rPr>
      </w:pPr>
      <w:r>
        <w:rPr>
          <w:rFonts w:hint="eastAsia" w:hAnsi="宋体" w:cs="宋体"/>
          <w:sz w:val="24"/>
          <w:szCs w:val="24"/>
        </w:rPr>
        <w:t>我方保证上述信息的真实和准确，并自愿承担所引起的一切经济损失及法律后果。</w:t>
      </w:r>
    </w:p>
    <w:p>
      <w:pPr>
        <w:spacing w:line="360" w:lineRule="auto"/>
        <w:ind w:firstLine="480" w:firstLineChars="200"/>
        <w:rPr>
          <w:rFonts w:hAnsi="宋体" w:cs="宋体"/>
          <w:sz w:val="24"/>
          <w:szCs w:val="24"/>
        </w:rPr>
      </w:pPr>
    </w:p>
    <w:p>
      <w:pPr>
        <w:spacing w:line="360" w:lineRule="auto"/>
        <w:ind w:firstLine="480" w:firstLineChars="200"/>
        <w:rPr>
          <w:rFonts w:hAnsi="宋体" w:cs="宋体"/>
          <w:sz w:val="24"/>
          <w:szCs w:val="24"/>
        </w:rPr>
      </w:pPr>
      <w:r>
        <w:rPr>
          <w:rFonts w:hint="eastAsia" w:hAnsi="宋体" w:cs="宋体"/>
          <w:sz w:val="24"/>
          <w:szCs w:val="24"/>
        </w:rPr>
        <w:t>特此承诺。</w:t>
      </w:r>
    </w:p>
    <w:p>
      <w:pPr>
        <w:spacing w:line="440" w:lineRule="exact"/>
        <w:ind w:firstLine="480" w:firstLineChars="200"/>
        <w:rPr>
          <w:rFonts w:hAnsi="宋体" w:cs="宋体"/>
          <w:sz w:val="24"/>
          <w:szCs w:val="24"/>
        </w:rPr>
      </w:pPr>
    </w:p>
    <w:p>
      <w:pPr>
        <w:pStyle w:val="2"/>
        <w:ind w:firstLine="528"/>
      </w:pPr>
    </w:p>
    <w:p>
      <w:pPr>
        <w:spacing w:line="440" w:lineRule="exact"/>
        <w:jc w:val="left"/>
        <w:rPr>
          <w:rFonts w:hAnsi="宋体" w:cs="宋体"/>
          <w:sz w:val="24"/>
          <w:szCs w:val="24"/>
        </w:rPr>
      </w:pPr>
      <w:r>
        <w:rPr>
          <w:rFonts w:hint="eastAsia" w:hAnsi="宋体" w:cs="宋体"/>
          <w:sz w:val="24"/>
          <w:szCs w:val="24"/>
        </w:rPr>
        <w:t>投标人：（盖单位章）</w:t>
      </w:r>
    </w:p>
    <w:p>
      <w:pPr>
        <w:pStyle w:val="2"/>
        <w:ind w:firstLine="528"/>
      </w:pPr>
    </w:p>
    <w:p>
      <w:pPr>
        <w:spacing w:line="440" w:lineRule="exact"/>
        <w:jc w:val="left"/>
        <w:rPr>
          <w:rFonts w:cs="宋体"/>
          <w:sz w:val="24"/>
          <w:szCs w:val="24"/>
        </w:rPr>
      </w:pPr>
      <w:r>
        <w:rPr>
          <w:rFonts w:hint="eastAsia" w:hAnsi="宋体" w:cs="宋体"/>
          <w:sz w:val="24"/>
          <w:szCs w:val="24"/>
        </w:rPr>
        <w:t>法定代表人或其委托代理人：（签字）</w:t>
      </w:r>
    </w:p>
    <w:p>
      <w:pPr>
        <w:spacing w:line="440" w:lineRule="exact"/>
        <w:jc w:val="right"/>
        <w:rPr>
          <w:rFonts w:cs="宋体"/>
          <w:sz w:val="24"/>
          <w:szCs w:val="24"/>
        </w:rPr>
      </w:pPr>
    </w:p>
    <w:p>
      <w:pPr>
        <w:spacing w:line="440" w:lineRule="exact"/>
        <w:ind w:right="480" w:firstLine="7200" w:firstLineChars="3000"/>
        <w:jc w:val="right"/>
        <w:rPr>
          <w:rFonts w:hAnsi="宋体" w:cs="宋体"/>
          <w:sz w:val="24"/>
          <w:szCs w:val="24"/>
        </w:rPr>
      </w:pPr>
      <w:r>
        <w:rPr>
          <w:rFonts w:hint="eastAsia" w:hAnsi="宋体" w:cs="宋体"/>
          <w:sz w:val="24"/>
          <w:szCs w:val="24"/>
        </w:rPr>
        <w:t>年   月  日</w:t>
      </w:r>
    </w:p>
    <w:p>
      <w:pPr>
        <w:pStyle w:val="2"/>
        <w:ind w:firstLine="528"/>
      </w:pPr>
      <w:r>
        <w:br w:type="page"/>
      </w:r>
    </w:p>
    <w:p>
      <w:pPr>
        <w:tabs>
          <w:tab w:val="left" w:pos="1755"/>
        </w:tabs>
        <w:spacing w:beforeLines="100"/>
        <w:jc w:val="left"/>
        <w:outlineLvl w:val="0"/>
        <w:rPr>
          <w:rFonts w:hAnsi="宋体" w:cs="宋体"/>
          <w:b/>
          <w:bCs/>
          <w:sz w:val="36"/>
          <w:szCs w:val="36"/>
        </w:rPr>
      </w:pPr>
      <w:r>
        <w:rPr>
          <w:rFonts w:hint="eastAsia" w:hAnsi="宋体" w:cs="宋体"/>
          <w:b/>
          <w:bCs/>
          <w:sz w:val="36"/>
          <w:szCs w:val="36"/>
        </w:rPr>
        <w:t>附件一：土方施工相关要求</w:t>
      </w:r>
    </w:p>
    <w:p>
      <w:pPr>
        <w:spacing w:line="400" w:lineRule="exact"/>
        <w:ind w:firstLine="482" w:firstLineChars="200"/>
        <w:jc w:val="left"/>
        <w:rPr>
          <w:rFonts w:hAnsi="宋体"/>
          <w:b/>
          <w:bCs/>
          <w:sz w:val="24"/>
          <w:szCs w:val="15"/>
        </w:rPr>
      </w:pPr>
      <w:r>
        <w:rPr>
          <w:rFonts w:hint="eastAsia" w:hAnsi="宋体"/>
          <w:b/>
          <w:bCs/>
          <w:sz w:val="24"/>
          <w:szCs w:val="15"/>
        </w:rPr>
        <w:t>①投标人应保证按雄安新区绿色建设相关要求进行施工，水管、水龙带、洒水车、雾炮机、装运车等所有工具、机械必须符合雄安标准、规范和相应文件要求；配备的土方等运输车辆应为具有定位功能的全封闭环保型新能源专用运输车辆，不得遗撒并保持车身整洁；</w:t>
      </w:r>
    </w:p>
    <w:p>
      <w:pPr>
        <w:spacing w:line="400" w:lineRule="exact"/>
        <w:ind w:firstLine="482" w:firstLineChars="200"/>
        <w:jc w:val="left"/>
        <w:rPr>
          <w:rFonts w:hAnsi="宋体"/>
          <w:b/>
          <w:bCs/>
          <w:sz w:val="24"/>
          <w:szCs w:val="15"/>
        </w:rPr>
      </w:pPr>
      <w:r>
        <w:rPr>
          <w:rFonts w:hint="eastAsia" w:hAnsi="宋体"/>
          <w:b/>
          <w:bCs/>
          <w:sz w:val="24"/>
          <w:szCs w:val="15"/>
        </w:rPr>
        <w:t>②施工时要采取有效的隔离措施将渣土车轮胎与土体隔离，保证进出车辆的清洁、干净，不带泥进出场，土方作业时每台挖掘机配备不少于一台大型雾炮机负责降尘作业，现场雾炮机数量必须满足覆盖全现场降尘要求及相关主管部门规定，另必须满足现场作业面需求，降尘覆盖范围必须全部覆盖作业范围，现场全天定时降尘；</w:t>
      </w:r>
    </w:p>
    <w:p>
      <w:pPr>
        <w:pStyle w:val="2"/>
        <w:spacing w:line="400" w:lineRule="exact"/>
        <w:ind w:left="0" w:firstLine="482"/>
        <w:rPr>
          <w:rFonts w:hAnsi="宋体"/>
          <w:b/>
          <w:bCs/>
          <w:spacing w:val="0"/>
          <w:szCs w:val="15"/>
        </w:rPr>
      </w:pPr>
      <w:r>
        <w:rPr>
          <w:rFonts w:hint="eastAsia" w:hAnsi="宋体"/>
          <w:b/>
          <w:bCs/>
          <w:spacing w:val="0"/>
          <w:szCs w:val="15"/>
        </w:rPr>
        <w:t>③已施工工程（含部分完工及全部完工工程）未交付发包人之前，投标人负责已完工程的保护工作，保护期间发生损坏的，由投标人予以修复，费用由投标人承担；</w:t>
      </w:r>
    </w:p>
    <w:p>
      <w:pPr>
        <w:pStyle w:val="2"/>
        <w:spacing w:line="400" w:lineRule="exact"/>
        <w:ind w:left="0" w:firstLine="482"/>
        <w:rPr>
          <w:rFonts w:hAnsi="宋体"/>
          <w:b/>
          <w:bCs/>
          <w:spacing w:val="0"/>
          <w:szCs w:val="15"/>
        </w:rPr>
      </w:pPr>
      <w:r>
        <w:rPr>
          <w:rFonts w:hint="eastAsia" w:hAnsi="宋体"/>
          <w:b/>
          <w:bCs/>
          <w:spacing w:val="0"/>
          <w:szCs w:val="15"/>
        </w:rPr>
        <w:t>④非道路移动机械应按照《雄安新区非道路移动机械污染备案登记实施细则》进行管理；相关人员应按照住房和城乡建设部、人力资源社会保障部制定的《建筑工人实名制管理办法（试行）》的要求，在施工现场全面落实建筑工人实名制；建设者工资保障金/农民工工资保障金须符合雄安新区政策要求；</w:t>
      </w:r>
    </w:p>
    <w:p>
      <w:pPr>
        <w:spacing w:line="400" w:lineRule="exact"/>
        <w:ind w:firstLine="482" w:firstLineChars="200"/>
        <w:jc w:val="left"/>
        <w:rPr>
          <w:rFonts w:hAnsi="宋体"/>
          <w:b/>
          <w:bCs/>
          <w:sz w:val="24"/>
          <w:szCs w:val="15"/>
        </w:rPr>
      </w:pPr>
      <w:r>
        <w:rPr>
          <w:rFonts w:hint="eastAsia" w:hAnsi="宋体"/>
          <w:b/>
          <w:bCs/>
          <w:sz w:val="24"/>
          <w:szCs w:val="15"/>
        </w:rPr>
        <w:t>③现场达到河北省安全文明工地及全国“建设工程项目施工安全生产标准化工地”要求。现场扬尘必须符合河北省施工场地扬尘排放标准（DB13/2934-2019）及雄安当地标准。</w:t>
      </w:r>
    </w:p>
    <w:p>
      <w:pPr>
        <w:spacing w:line="400" w:lineRule="exact"/>
        <w:ind w:firstLine="482" w:firstLineChars="200"/>
        <w:jc w:val="left"/>
        <w:rPr>
          <w:rFonts w:hAnsi="宋体"/>
          <w:b/>
          <w:bCs/>
          <w:sz w:val="24"/>
          <w:szCs w:val="15"/>
        </w:rPr>
      </w:pPr>
      <w:r>
        <w:rPr>
          <w:rFonts w:hint="eastAsia" w:hAnsi="宋体"/>
          <w:b/>
          <w:bCs/>
          <w:sz w:val="24"/>
          <w:szCs w:val="15"/>
        </w:rPr>
        <w:t>④所涉及的灰土和无机料拌合，应采用预拌措施，碾压过程中要洒水降尘；回填土进行环保检测并提供正式检测报告，相关检测费用由投标人承担。检测报告不合格，影响回填所产生费用由投标人承担。</w:t>
      </w:r>
    </w:p>
    <w:p>
      <w:pPr>
        <w:spacing w:line="400" w:lineRule="exact"/>
        <w:ind w:firstLine="482" w:firstLineChars="200"/>
        <w:jc w:val="left"/>
        <w:rPr>
          <w:rFonts w:hAnsi="宋体"/>
          <w:b/>
          <w:bCs/>
          <w:sz w:val="24"/>
          <w:szCs w:val="15"/>
        </w:rPr>
      </w:pPr>
      <w:r>
        <w:rPr>
          <w:rFonts w:hint="eastAsia" w:hAnsi="宋体"/>
          <w:b/>
          <w:bCs/>
          <w:sz w:val="24"/>
          <w:szCs w:val="15"/>
        </w:rPr>
        <w:t>⑤投标人应按经过审批的相关施工方案进行施工，未按照招标人要求的施工造成影响的有投标人承担损失。</w:t>
      </w:r>
    </w:p>
    <w:p>
      <w:pPr>
        <w:pStyle w:val="2"/>
        <w:spacing w:line="400" w:lineRule="exact"/>
        <w:ind w:left="0" w:firstLine="482"/>
        <w:rPr>
          <w:rFonts w:hAnsi="宋体"/>
          <w:b/>
          <w:bCs/>
          <w:spacing w:val="0"/>
          <w:szCs w:val="15"/>
        </w:rPr>
      </w:pPr>
      <w:r>
        <w:rPr>
          <w:rFonts w:hint="eastAsia" w:hAnsi="宋体"/>
          <w:b/>
          <w:bCs/>
          <w:spacing w:val="0"/>
          <w:szCs w:val="15"/>
        </w:rPr>
        <w:t>⑥针对2020年初以来爆发的新型冠状病毒肺炎疫情投标人应做到严格按照国家、河北省、雄安新区相关部门、招标人的指示及要求，配合招标人做好疫情应对工作，做好各项应对措施，并承担相关费用，制定完善的施工质量、进度保障方案，保障工程的顺利有序进行。</w:t>
      </w:r>
    </w:p>
    <w:p>
      <w:pPr>
        <w:spacing w:line="400" w:lineRule="exact"/>
        <w:ind w:firstLine="482" w:firstLineChars="200"/>
        <w:jc w:val="left"/>
        <w:rPr>
          <w:rFonts w:hAnsi="宋体"/>
          <w:b/>
          <w:bCs/>
          <w:sz w:val="24"/>
          <w:szCs w:val="15"/>
        </w:rPr>
      </w:pPr>
      <w:r>
        <w:rPr>
          <w:rFonts w:hint="eastAsia" w:hAnsi="宋体"/>
          <w:b/>
          <w:bCs/>
          <w:sz w:val="24"/>
          <w:szCs w:val="15"/>
        </w:rPr>
        <w:t>未尽事宜投标人还需满足《河北雄安新区非道路移动机械排气污染物深度治理指导意见》、《河北雄安新区2020年扬尘污染防治专项工作方案》《河北雄安新区机动车和非道路移动机械排放污染防治专项工作方案》、《雄安新区非道路移动机械污染备案登记实施细则》、《河北雄安新区非道路移动机械污染专项治理方案》、《河北雄安新区移动源污染物低排放控制区实施方案》、《河北雄安新区重型柴油车污染防治管理实施细则(暂行)》、《雄安新区非道路移动机械污染备案登记实施细则》、《河北雄安新区重型柴油车专项治理方案》等雄安新区相关规定</w:t>
      </w:r>
    </w:p>
    <w:p>
      <w:pPr>
        <w:rPr>
          <w:rFonts w:hAnsi="宋体" w:cs="宋体"/>
          <w:b/>
          <w:sz w:val="36"/>
        </w:rPr>
      </w:pPr>
    </w:p>
    <w:sectPr>
      <w:footerReference r:id="rId3" w:type="default"/>
      <w:footerReference r:id="rId4" w:type="even"/>
      <w:pgSz w:w="11907" w:h="16840"/>
      <w:pgMar w:top="1361" w:right="1361" w:bottom="1077" w:left="1361"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Sans Serif">
    <w:altName w:val="Arial"/>
    <w:panose1 w:val="020B05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27</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1</w:t>
    </w:r>
    <w: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1D332"/>
    <w:multiLevelType w:val="singleLevel"/>
    <w:tmpl w:val="80B1D332"/>
    <w:lvl w:ilvl="0" w:tentative="0">
      <w:start w:val="1"/>
      <w:numFmt w:val="decimal"/>
      <w:lvlText w:val="%1."/>
      <w:lvlJc w:val="left"/>
      <w:pPr>
        <w:tabs>
          <w:tab w:val="left" w:pos="312"/>
        </w:tabs>
      </w:pPr>
    </w:lvl>
  </w:abstractNum>
  <w:abstractNum w:abstractNumId="1">
    <w:nsid w:val="DE63C532"/>
    <w:multiLevelType w:val="singleLevel"/>
    <w:tmpl w:val="DE63C532"/>
    <w:lvl w:ilvl="0" w:tentative="0">
      <w:start w:val="1"/>
      <w:numFmt w:val="decimal"/>
      <w:lvlText w:val="%1."/>
      <w:lvlJc w:val="left"/>
      <w:pPr>
        <w:tabs>
          <w:tab w:val="left" w:pos="312"/>
        </w:tabs>
      </w:pPr>
    </w:lvl>
  </w:abstractNum>
  <w:abstractNum w:abstractNumId="2">
    <w:nsid w:val="F860D0B7"/>
    <w:multiLevelType w:val="singleLevel"/>
    <w:tmpl w:val="F860D0B7"/>
    <w:lvl w:ilvl="0" w:tentative="0">
      <w:start w:val="4"/>
      <w:numFmt w:val="chineseCounting"/>
      <w:suff w:val="nothing"/>
      <w:lvlText w:val="（%1）"/>
      <w:lvlJc w:val="left"/>
      <w:rPr>
        <w:rFonts w:hint="eastAsia"/>
      </w:rPr>
    </w:lvl>
  </w:abstractNum>
  <w:abstractNum w:abstractNumId="3">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4">
    <w:nsid w:val="0000000A"/>
    <w:multiLevelType w:val="multilevel"/>
    <w:tmpl w:val="0000000A"/>
    <w:lvl w:ilvl="0" w:tentative="0">
      <w:start w:val="1"/>
      <w:numFmt w:val="decimal"/>
      <w:pStyle w:val="71"/>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0"/>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5">
    <w:nsid w:val="35462C06"/>
    <w:multiLevelType w:val="singleLevel"/>
    <w:tmpl w:val="35462C06"/>
    <w:lvl w:ilvl="0" w:tentative="0">
      <w:start w:val="1"/>
      <w:numFmt w:val="decimal"/>
      <w:suff w:val="nothing"/>
      <w:lvlText w:val="%1、"/>
      <w:lvlJc w:val="left"/>
    </w:lvl>
  </w:abstractNum>
  <w:abstractNum w:abstractNumId="6">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5C1"/>
    <w:rsid w:val="00000772"/>
    <w:rsid w:val="00000ABB"/>
    <w:rsid w:val="000014B5"/>
    <w:rsid w:val="000015A8"/>
    <w:rsid w:val="00001E53"/>
    <w:rsid w:val="000028B0"/>
    <w:rsid w:val="000028B3"/>
    <w:rsid w:val="00005AFE"/>
    <w:rsid w:val="00005FFE"/>
    <w:rsid w:val="00006C5F"/>
    <w:rsid w:val="00007658"/>
    <w:rsid w:val="000077D9"/>
    <w:rsid w:val="00007B62"/>
    <w:rsid w:val="00007BDA"/>
    <w:rsid w:val="00011149"/>
    <w:rsid w:val="0001126C"/>
    <w:rsid w:val="00011F9F"/>
    <w:rsid w:val="00011FD9"/>
    <w:rsid w:val="000135BB"/>
    <w:rsid w:val="000157BD"/>
    <w:rsid w:val="00015887"/>
    <w:rsid w:val="00015A41"/>
    <w:rsid w:val="0001658F"/>
    <w:rsid w:val="00016A69"/>
    <w:rsid w:val="0001711F"/>
    <w:rsid w:val="00020B25"/>
    <w:rsid w:val="00022658"/>
    <w:rsid w:val="00022B9E"/>
    <w:rsid w:val="00022C42"/>
    <w:rsid w:val="00022DF7"/>
    <w:rsid w:val="00025CEA"/>
    <w:rsid w:val="00026221"/>
    <w:rsid w:val="00026525"/>
    <w:rsid w:val="000303C5"/>
    <w:rsid w:val="00030964"/>
    <w:rsid w:val="00031E4E"/>
    <w:rsid w:val="00032B56"/>
    <w:rsid w:val="00033F35"/>
    <w:rsid w:val="00033FCC"/>
    <w:rsid w:val="00041D52"/>
    <w:rsid w:val="00042F87"/>
    <w:rsid w:val="0004410E"/>
    <w:rsid w:val="000442E2"/>
    <w:rsid w:val="00045104"/>
    <w:rsid w:val="00046065"/>
    <w:rsid w:val="000467E4"/>
    <w:rsid w:val="0005032B"/>
    <w:rsid w:val="0005078D"/>
    <w:rsid w:val="00050E0D"/>
    <w:rsid w:val="00051FDC"/>
    <w:rsid w:val="000546CD"/>
    <w:rsid w:val="00054ECA"/>
    <w:rsid w:val="00055563"/>
    <w:rsid w:val="00055F5E"/>
    <w:rsid w:val="000567C9"/>
    <w:rsid w:val="00056BDB"/>
    <w:rsid w:val="00056D2E"/>
    <w:rsid w:val="00060101"/>
    <w:rsid w:val="00060539"/>
    <w:rsid w:val="00064010"/>
    <w:rsid w:val="00064C83"/>
    <w:rsid w:val="00066AB8"/>
    <w:rsid w:val="00070558"/>
    <w:rsid w:val="000714EF"/>
    <w:rsid w:val="00072D84"/>
    <w:rsid w:val="00074155"/>
    <w:rsid w:val="000773B6"/>
    <w:rsid w:val="00077B3D"/>
    <w:rsid w:val="00081754"/>
    <w:rsid w:val="00082547"/>
    <w:rsid w:val="000832EF"/>
    <w:rsid w:val="0008350D"/>
    <w:rsid w:val="00084740"/>
    <w:rsid w:val="00085A9F"/>
    <w:rsid w:val="00085CA4"/>
    <w:rsid w:val="000869E8"/>
    <w:rsid w:val="00087267"/>
    <w:rsid w:val="0009172D"/>
    <w:rsid w:val="00091C43"/>
    <w:rsid w:val="00091F56"/>
    <w:rsid w:val="0009644C"/>
    <w:rsid w:val="00096CCB"/>
    <w:rsid w:val="00097225"/>
    <w:rsid w:val="0009722C"/>
    <w:rsid w:val="000A3E14"/>
    <w:rsid w:val="000A43DA"/>
    <w:rsid w:val="000A4E28"/>
    <w:rsid w:val="000A5517"/>
    <w:rsid w:val="000A5F42"/>
    <w:rsid w:val="000A6142"/>
    <w:rsid w:val="000A6A2C"/>
    <w:rsid w:val="000A6B19"/>
    <w:rsid w:val="000A70AB"/>
    <w:rsid w:val="000B0F12"/>
    <w:rsid w:val="000B1F18"/>
    <w:rsid w:val="000B2142"/>
    <w:rsid w:val="000B2415"/>
    <w:rsid w:val="000B3278"/>
    <w:rsid w:val="000B335F"/>
    <w:rsid w:val="000B3564"/>
    <w:rsid w:val="000B425B"/>
    <w:rsid w:val="000B4472"/>
    <w:rsid w:val="000B56C5"/>
    <w:rsid w:val="000B60E6"/>
    <w:rsid w:val="000B7FBA"/>
    <w:rsid w:val="000C029D"/>
    <w:rsid w:val="000C0AFF"/>
    <w:rsid w:val="000C1993"/>
    <w:rsid w:val="000C247A"/>
    <w:rsid w:val="000C25A1"/>
    <w:rsid w:val="000C402C"/>
    <w:rsid w:val="000C47E0"/>
    <w:rsid w:val="000C481D"/>
    <w:rsid w:val="000C4CE0"/>
    <w:rsid w:val="000C5C78"/>
    <w:rsid w:val="000C61F1"/>
    <w:rsid w:val="000C7312"/>
    <w:rsid w:val="000D1093"/>
    <w:rsid w:val="000D1644"/>
    <w:rsid w:val="000D3D52"/>
    <w:rsid w:val="000D50CA"/>
    <w:rsid w:val="000D5E10"/>
    <w:rsid w:val="000D6E3D"/>
    <w:rsid w:val="000D7D08"/>
    <w:rsid w:val="000E0C27"/>
    <w:rsid w:val="000E1966"/>
    <w:rsid w:val="000E1AA7"/>
    <w:rsid w:val="000E2641"/>
    <w:rsid w:val="000E3150"/>
    <w:rsid w:val="000E319F"/>
    <w:rsid w:val="000E4886"/>
    <w:rsid w:val="000E60D8"/>
    <w:rsid w:val="000E7670"/>
    <w:rsid w:val="000F024A"/>
    <w:rsid w:val="000F2656"/>
    <w:rsid w:val="000F3A65"/>
    <w:rsid w:val="000F3A83"/>
    <w:rsid w:val="000F3DC0"/>
    <w:rsid w:val="000F4566"/>
    <w:rsid w:val="000F4893"/>
    <w:rsid w:val="000F71A6"/>
    <w:rsid w:val="000F7622"/>
    <w:rsid w:val="001000A1"/>
    <w:rsid w:val="00101221"/>
    <w:rsid w:val="00102B66"/>
    <w:rsid w:val="00103D99"/>
    <w:rsid w:val="001046B9"/>
    <w:rsid w:val="00105058"/>
    <w:rsid w:val="00105339"/>
    <w:rsid w:val="00107FBF"/>
    <w:rsid w:val="001102BB"/>
    <w:rsid w:val="001117C2"/>
    <w:rsid w:val="00112F7F"/>
    <w:rsid w:val="001134A5"/>
    <w:rsid w:val="00113516"/>
    <w:rsid w:val="001139B3"/>
    <w:rsid w:val="00115373"/>
    <w:rsid w:val="00116A1F"/>
    <w:rsid w:val="00117582"/>
    <w:rsid w:val="00117AD1"/>
    <w:rsid w:val="00120ABD"/>
    <w:rsid w:val="001212BE"/>
    <w:rsid w:val="00121CF9"/>
    <w:rsid w:val="00123B38"/>
    <w:rsid w:val="0012416C"/>
    <w:rsid w:val="001262EE"/>
    <w:rsid w:val="001271B7"/>
    <w:rsid w:val="001275A8"/>
    <w:rsid w:val="001277E3"/>
    <w:rsid w:val="00127E68"/>
    <w:rsid w:val="00131D57"/>
    <w:rsid w:val="00131F01"/>
    <w:rsid w:val="00132BDE"/>
    <w:rsid w:val="00140A1B"/>
    <w:rsid w:val="00140C3F"/>
    <w:rsid w:val="00140EE2"/>
    <w:rsid w:val="0014258F"/>
    <w:rsid w:val="0014271E"/>
    <w:rsid w:val="0014385C"/>
    <w:rsid w:val="00144A5D"/>
    <w:rsid w:val="001464C2"/>
    <w:rsid w:val="0014722E"/>
    <w:rsid w:val="001479EB"/>
    <w:rsid w:val="00150533"/>
    <w:rsid w:val="0015142C"/>
    <w:rsid w:val="001524C1"/>
    <w:rsid w:val="001529FF"/>
    <w:rsid w:val="001534D2"/>
    <w:rsid w:val="00153542"/>
    <w:rsid w:val="00153DBF"/>
    <w:rsid w:val="001568BB"/>
    <w:rsid w:val="00160E3C"/>
    <w:rsid w:val="00161064"/>
    <w:rsid w:val="00165F1E"/>
    <w:rsid w:val="00166DBC"/>
    <w:rsid w:val="00167E52"/>
    <w:rsid w:val="00170FAB"/>
    <w:rsid w:val="00171890"/>
    <w:rsid w:val="001723A3"/>
    <w:rsid w:val="00172A27"/>
    <w:rsid w:val="00176687"/>
    <w:rsid w:val="001778C3"/>
    <w:rsid w:val="00177CCE"/>
    <w:rsid w:val="00180843"/>
    <w:rsid w:val="00183ABD"/>
    <w:rsid w:val="0019376E"/>
    <w:rsid w:val="00193A5F"/>
    <w:rsid w:val="00193EFF"/>
    <w:rsid w:val="0019453D"/>
    <w:rsid w:val="00197B28"/>
    <w:rsid w:val="00197C66"/>
    <w:rsid w:val="001A0285"/>
    <w:rsid w:val="001A02B8"/>
    <w:rsid w:val="001A2FE0"/>
    <w:rsid w:val="001A3431"/>
    <w:rsid w:val="001A399B"/>
    <w:rsid w:val="001A3CB9"/>
    <w:rsid w:val="001A3E9C"/>
    <w:rsid w:val="001A3FFD"/>
    <w:rsid w:val="001A56AA"/>
    <w:rsid w:val="001A61B3"/>
    <w:rsid w:val="001B2E72"/>
    <w:rsid w:val="001B3D0A"/>
    <w:rsid w:val="001B4005"/>
    <w:rsid w:val="001B41DD"/>
    <w:rsid w:val="001B4C63"/>
    <w:rsid w:val="001B5F0A"/>
    <w:rsid w:val="001B6BAE"/>
    <w:rsid w:val="001C0023"/>
    <w:rsid w:val="001C0B64"/>
    <w:rsid w:val="001C0FCC"/>
    <w:rsid w:val="001C1FF3"/>
    <w:rsid w:val="001C397B"/>
    <w:rsid w:val="001C3ADC"/>
    <w:rsid w:val="001C65BB"/>
    <w:rsid w:val="001C6D1B"/>
    <w:rsid w:val="001C7DD5"/>
    <w:rsid w:val="001D084A"/>
    <w:rsid w:val="001D0B12"/>
    <w:rsid w:val="001D535D"/>
    <w:rsid w:val="001D5C36"/>
    <w:rsid w:val="001D62A2"/>
    <w:rsid w:val="001E03BC"/>
    <w:rsid w:val="001E1618"/>
    <w:rsid w:val="001E5C0B"/>
    <w:rsid w:val="001F0013"/>
    <w:rsid w:val="001F0603"/>
    <w:rsid w:val="001F148A"/>
    <w:rsid w:val="001F1DB2"/>
    <w:rsid w:val="001F30CE"/>
    <w:rsid w:val="001F3B4D"/>
    <w:rsid w:val="001F46CD"/>
    <w:rsid w:val="001F4B6D"/>
    <w:rsid w:val="001F60D2"/>
    <w:rsid w:val="001F6D78"/>
    <w:rsid w:val="0020034A"/>
    <w:rsid w:val="00202BBF"/>
    <w:rsid w:val="0020302D"/>
    <w:rsid w:val="00205240"/>
    <w:rsid w:val="00206570"/>
    <w:rsid w:val="00207908"/>
    <w:rsid w:val="00207FA5"/>
    <w:rsid w:val="002101EF"/>
    <w:rsid w:val="002115E2"/>
    <w:rsid w:val="00211A48"/>
    <w:rsid w:val="00212E8B"/>
    <w:rsid w:val="00213E82"/>
    <w:rsid w:val="002161FD"/>
    <w:rsid w:val="00217CD6"/>
    <w:rsid w:val="00221678"/>
    <w:rsid w:val="002231D6"/>
    <w:rsid w:val="00225A1E"/>
    <w:rsid w:val="00225A33"/>
    <w:rsid w:val="0022680C"/>
    <w:rsid w:val="00233305"/>
    <w:rsid w:val="0023655A"/>
    <w:rsid w:val="00236A26"/>
    <w:rsid w:val="00237801"/>
    <w:rsid w:val="002402DE"/>
    <w:rsid w:val="00241276"/>
    <w:rsid w:val="00241303"/>
    <w:rsid w:val="00243076"/>
    <w:rsid w:val="00243793"/>
    <w:rsid w:val="00243F0F"/>
    <w:rsid w:val="0024460D"/>
    <w:rsid w:val="002457AD"/>
    <w:rsid w:val="00245EC0"/>
    <w:rsid w:val="00246A80"/>
    <w:rsid w:val="00250CC7"/>
    <w:rsid w:val="00251536"/>
    <w:rsid w:val="00252F61"/>
    <w:rsid w:val="002555FC"/>
    <w:rsid w:val="002561EC"/>
    <w:rsid w:val="00257431"/>
    <w:rsid w:val="00257687"/>
    <w:rsid w:val="00263195"/>
    <w:rsid w:val="0026448B"/>
    <w:rsid w:val="00264C32"/>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8077A"/>
    <w:rsid w:val="00280D05"/>
    <w:rsid w:val="002818D7"/>
    <w:rsid w:val="00281BA7"/>
    <w:rsid w:val="00283511"/>
    <w:rsid w:val="00284448"/>
    <w:rsid w:val="00284F64"/>
    <w:rsid w:val="002867D8"/>
    <w:rsid w:val="00290689"/>
    <w:rsid w:val="00290E2F"/>
    <w:rsid w:val="002910EB"/>
    <w:rsid w:val="002924B4"/>
    <w:rsid w:val="00292A42"/>
    <w:rsid w:val="00293217"/>
    <w:rsid w:val="00295DC8"/>
    <w:rsid w:val="00297AF9"/>
    <w:rsid w:val="002A09F2"/>
    <w:rsid w:val="002A0C9E"/>
    <w:rsid w:val="002A15F2"/>
    <w:rsid w:val="002A25D5"/>
    <w:rsid w:val="002A30B6"/>
    <w:rsid w:val="002A35F4"/>
    <w:rsid w:val="002A525B"/>
    <w:rsid w:val="002A60CF"/>
    <w:rsid w:val="002A62B1"/>
    <w:rsid w:val="002A75C3"/>
    <w:rsid w:val="002B2BC3"/>
    <w:rsid w:val="002B474A"/>
    <w:rsid w:val="002B6432"/>
    <w:rsid w:val="002B6711"/>
    <w:rsid w:val="002B6E6D"/>
    <w:rsid w:val="002C0189"/>
    <w:rsid w:val="002C1390"/>
    <w:rsid w:val="002C20B1"/>
    <w:rsid w:val="002C2891"/>
    <w:rsid w:val="002C491C"/>
    <w:rsid w:val="002C5A12"/>
    <w:rsid w:val="002D0990"/>
    <w:rsid w:val="002D1887"/>
    <w:rsid w:val="002D247C"/>
    <w:rsid w:val="002D2A91"/>
    <w:rsid w:val="002D5894"/>
    <w:rsid w:val="002D5955"/>
    <w:rsid w:val="002D5FB8"/>
    <w:rsid w:val="002D630F"/>
    <w:rsid w:val="002D6D01"/>
    <w:rsid w:val="002D7B68"/>
    <w:rsid w:val="002E10D0"/>
    <w:rsid w:val="002E1528"/>
    <w:rsid w:val="002E1561"/>
    <w:rsid w:val="002E19C4"/>
    <w:rsid w:val="002E286B"/>
    <w:rsid w:val="002E28C2"/>
    <w:rsid w:val="002E387D"/>
    <w:rsid w:val="002E4445"/>
    <w:rsid w:val="002E4830"/>
    <w:rsid w:val="002E783B"/>
    <w:rsid w:val="002E78F7"/>
    <w:rsid w:val="002F00A7"/>
    <w:rsid w:val="002F1B29"/>
    <w:rsid w:val="002F2C67"/>
    <w:rsid w:val="002F3BE1"/>
    <w:rsid w:val="002F3F55"/>
    <w:rsid w:val="002F4E7A"/>
    <w:rsid w:val="002F4F14"/>
    <w:rsid w:val="002F6C8A"/>
    <w:rsid w:val="002F7D77"/>
    <w:rsid w:val="00300174"/>
    <w:rsid w:val="00300593"/>
    <w:rsid w:val="0030095E"/>
    <w:rsid w:val="0030189D"/>
    <w:rsid w:val="0030244C"/>
    <w:rsid w:val="00302E38"/>
    <w:rsid w:val="003041E6"/>
    <w:rsid w:val="00304262"/>
    <w:rsid w:val="003054CC"/>
    <w:rsid w:val="0030610A"/>
    <w:rsid w:val="00306676"/>
    <w:rsid w:val="0030673F"/>
    <w:rsid w:val="00306BE2"/>
    <w:rsid w:val="0031101E"/>
    <w:rsid w:val="00311A91"/>
    <w:rsid w:val="00313023"/>
    <w:rsid w:val="00313D40"/>
    <w:rsid w:val="00315078"/>
    <w:rsid w:val="00316863"/>
    <w:rsid w:val="00317C58"/>
    <w:rsid w:val="00317CFC"/>
    <w:rsid w:val="00321135"/>
    <w:rsid w:val="00321584"/>
    <w:rsid w:val="0032225F"/>
    <w:rsid w:val="003224CC"/>
    <w:rsid w:val="00323264"/>
    <w:rsid w:val="003257FB"/>
    <w:rsid w:val="00326128"/>
    <w:rsid w:val="00327EDD"/>
    <w:rsid w:val="003300DF"/>
    <w:rsid w:val="00330F5A"/>
    <w:rsid w:val="003327A4"/>
    <w:rsid w:val="00333714"/>
    <w:rsid w:val="00333F42"/>
    <w:rsid w:val="003343DF"/>
    <w:rsid w:val="00335345"/>
    <w:rsid w:val="003353C5"/>
    <w:rsid w:val="00335BAB"/>
    <w:rsid w:val="003371F5"/>
    <w:rsid w:val="00337AF1"/>
    <w:rsid w:val="00340E2D"/>
    <w:rsid w:val="00341DF2"/>
    <w:rsid w:val="00342944"/>
    <w:rsid w:val="00343261"/>
    <w:rsid w:val="00343D39"/>
    <w:rsid w:val="003447A8"/>
    <w:rsid w:val="00344A53"/>
    <w:rsid w:val="00344DED"/>
    <w:rsid w:val="0034783B"/>
    <w:rsid w:val="00350076"/>
    <w:rsid w:val="003501A6"/>
    <w:rsid w:val="003514EF"/>
    <w:rsid w:val="00352317"/>
    <w:rsid w:val="00353946"/>
    <w:rsid w:val="00353E1E"/>
    <w:rsid w:val="00353E3C"/>
    <w:rsid w:val="003566FA"/>
    <w:rsid w:val="00357225"/>
    <w:rsid w:val="00363872"/>
    <w:rsid w:val="00364A2E"/>
    <w:rsid w:val="0036595B"/>
    <w:rsid w:val="00365A75"/>
    <w:rsid w:val="003704B2"/>
    <w:rsid w:val="00370623"/>
    <w:rsid w:val="003708A1"/>
    <w:rsid w:val="00370B69"/>
    <w:rsid w:val="003711EC"/>
    <w:rsid w:val="003735D5"/>
    <w:rsid w:val="003735FE"/>
    <w:rsid w:val="0037483C"/>
    <w:rsid w:val="0037750E"/>
    <w:rsid w:val="0037797B"/>
    <w:rsid w:val="00380675"/>
    <w:rsid w:val="00381727"/>
    <w:rsid w:val="00383554"/>
    <w:rsid w:val="00384030"/>
    <w:rsid w:val="003841BA"/>
    <w:rsid w:val="00384EE7"/>
    <w:rsid w:val="00384F00"/>
    <w:rsid w:val="003857A0"/>
    <w:rsid w:val="00385AEC"/>
    <w:rsid w:val="0038681F"/>
    <w:rsid w:val="0038779B"/>
    <w:rsid w:val="00393159"/>
    <w:rsid w:val="00394005"/>
    <w:rsid w:val="00394D8A"/>
    <w:rsid w:val="0039576E"/>
    <w:rsid w:val="00396567"/>
    <w:rsid w:val="00396923"/>
    <w:rsid w:val="00396A4C"/>
    <w:rsid w:val="00396E25"/>
    <w:rsid w:val="00396FBF"/>
    <w:rsid w:val="003A03DD"/>
    <w:rsid w:val="003A0AEF"/>
    <w:rsid w:val="003A2C5F"/>
    <w:rsid w:val="003A3C2A"/>
    <w:rsid w:val="003A5308"/>
    <w:rsid w:val="003A6CC9"/>
    <w:rsid w:val="003A7162"/>
    <w:rsid w:val="003A7540"/>
    <w:rsid w:val="003B0998"/>
    <w:rsid w:val="003B1BAD"/>
    <w:rsid w:val="003B4023"/>
    <w:rsid w:val="003B4095"/>
    <w:rsid w:val="003B4A47"/>
    <w:rsid w:val="003B4B75"/>
    <w:rsid w:val="003B5578"/>
    <w:rsid w:val="003B5AF6"/>
    <w:rsid w:val="003C0E50"/>
    <w:rsid w:val="003C21C7"/>
    <w:rsid w:val="003C2F6B"/>
    <w:rsid w:val="003C35F1"/>
    <w:rsid w:val="003C6017"/>
    <w:rsid w:val="003C60CC"/>
    <w:rsid w:val="003C7943"/>
    <w:rsid w:val="003D5118"/>
    <w:rsid w:val="003D53CD"/>
    <w:rsid w:val="003D5747"/>
    <w:rsid w:val="003D6DC9"/>
    <w:rsid w:val="003D745C"/>
    <w:rsid w:val="003D7EE6"/>
    <w:rsid w:val="003E0109"/>
    <w:rsid w:val="003E24B8"/>
    <w:rsid w:val="003E299F"/>
    <w:rsid w:val="003E4C83"/>
    <w:rsid w:val="003E4F44"/>
    <w:rsid w:val="003E7448"/>
    <w:rsid w:val="003F2C36"/>
    <w:rsid w:val="003F532B"/>
    <w:rsid w:val="003F7DEA"/>
    <w:rsid w:val="00401941"/>
    <w:rsid w:val="00403520"/>
    <w:rsid w:val="00403FB7"/>
    <w:rsid w:val="004042E5"/>
    <w:rsid w:val="00404314"/>
    <w:rsid w:val="00404917"/>
    <w:rsid w:val="00404D55"/>
    <w:rsid w:val="00405BAF"/>
    <w:rsid w:val="004072CC"/>
    <w:rsid w:val="004078B0"/>
    <w:rsid w:val="00410755"/>
    <w:rsid w:val="00411036"/>
    <w:rsid w:val="00411903"/>
    <w:rsid w:val="0041304D"/>
    <w:rsid w:val="004130A2"/>
    <w:rsid w:val="004144C6"/>
    <w:rsid w:val="0041530C"/>
    <w:rsid w:val="00415A14"/>
    <w:rsid w:val="00416554"/>
    <w:rsid w:val="00417705"/>
    <w:rsid w:val="00421517"/>
    <w:rsid w:val="00422993"/>
    <w:rsid w:val="00422AB1"/>
    <w:rsid w:val="00423410"/>
    <w:rsid w:val="00423A88"/>
    <w:rsid w:val="004241AA"/>
    <w:rsid w:val="00426250"/>
    <w:rsid w:val="0043156A"/>
    <w:rsid w:val="00435431"/>
    <w:rsid w:val="004361A9"/>
    <w:rsid w:val="00437846"/>
    <w:rsid w:val="004400C1"/>
    <w:rsid w:val="00440464"/>
    <w:rsid w:val="004433F1"/>
    <w:rsid w:val="004440A7"/>
    <w:rsid w:val="00444291"/>
    <w:rsid w:val="004452D8"/>
    <w:rsid w:val="0045053E"/>
    <w:rsid w:val="0045197C"/>
    <w:rsid w:val="00451B96"/>
    <w:rsid w:val="00451C0F"/>
    <w:rsid w:val="00451F0C"/>
    <w:rsid w:val="00452328"/>
    <w:rsid w:val="00453E20"/>
    <w:rsid w:val="00454449"/>
    <w:rsid w:val="0045560F"/>
    <w:rsid w:val="0045585D"/>
    <w:rsid w:val="00455FB1"/>
    <w:rsid w:val="004573AF"/>
    <w:rsid w:val="004603D5"/>
    <w:rsid w:val="00461EA7"/>
    <w:rsid w:val="00463AB4"/>
    <w:rsid w:val="00464F00"/>
    <w:rsid w:val="00465832"/>
    <w:rsid w:val="004663A8"/>
    <w:rsid w:val="004668EA"/>
    <w:rsid w:val="004669D9"/>
    <w:rsid w:val="00466A0A"/>
    <w:rsid w:val="00466E8D"/>
    <w:rsid w:val="004700B7"/>
    <w:rsid w:val="00470608"/>
    <w:rsid w:val="00472A03"/>
    <w:rsid w:val="004767A9"/>
    <w:rsid w:val="00477308"/>
    <w:rsid w:val="00480087"/>
    <w:rsid w:val="00480986"/>
    <w:rsid w:val="00481EF5"/>
    <w:rsid w:val="00482284"/>
    <w:rsid w:val="0048247A"/>
    <w:rsid w:val="0048255A"/>
    <w:rsid w:val="0048463D"/>
    <w:rsid w:val="004863EB"/>
    <w:rsid w:val="00487360"/>
    <w:rsid w:val="00490B6F"/>
    <w:rsid w:val="00493DA8"/>
    <w:rsid w:val="004A1650"/>
    <w:rsid w:val="004A1813"/>
    <w:rsid w:val="004A3068"/>
    <w:rsid w:val="004A31FF"/>
    <w:rsid w:val="004A3ADB"/>
    <w:rsid w:val="004A4A91"/>
    <w:rsid w:val="004A5681"/>
    <w:rsid w:val="004A690B"/>
    <w:rsid w:val="004A71C0"/>
    <w:rsid w:val="004B42CD"/>
    <w:rsid w:val="004B4376"/>
    <w:rsid w:val="004B4807"/>
    <w:rsid w:val="004B5B43"/>
    <w:rsid w:val="004B6437"/>
    <w:rsid w:val="004C26F6"/>
    <w:rsid w:val="004C38DF"/>
    <w:rsid w:val="004C4A9F"/>
    <w:rsid w:val="004C7411"/>
    <w:rsid w:val="004D03BF"/>
    <w:rsid w:val="004D09EA"/>
    <w:rsid w:val="004D0F00"/>
    <w:rsid w:val="004D46A3"/>
    <w:rsid w:val="004D4894"/>
    <w:rsid w:val="004D7516"/>
    <w:rsid w:val="004E0EC7"/>
    <w:rsid w:val="004E19FD"/>
    <w:rsid w:val="004E1AC1"/>
    <w:rsid w:val="004E2FAB"/>
    <w:rsid w:val="004E397E"/>
    <w:rsid w:val="004E3AB9"/>
    <w:rsid w:val="004E3D08"/>
    <w:rsid w:val="004E4BB9"/>
    <w:rsid w:val="004E61C0"/>
    <w:rsid w:val="004E7697"/>
    <w:rsid w:val="004F1B2D"/>
    <w:rsid w:val="004F1C84"/>
    <w:rsid w:val="004F1E42"/>
    <w:rsid w:val="004F2736"/>
    <w:rsid w:val="004F2F56"/>
    <w:rsid w:val="004F392B"/>
    <w:rsid w:val="004F3B6A"/>
    <w:rsid w:val="004F619D"/>
    <w:rsid w:val="004F7120"/>
    <w:rsid w:val="004F7EBE"/>
    <w:rsid w:val="00502341"/>
    <w:rsid w:val="00502B89"/>
    <w:rsid w:val="00503CB3"/>
    <w:rsid w:val="0050549E"/>
    <w:rsid w:val="00506CDD"/>
    <w:rsid w:val="00513F24"/>
    <w:rsid w:val="0051592E"/>
    <w:rsid w:val="00515D9A"/>
    <w:rsid w:val="00516796"/>
    <w:rsid w:val="00516CC3"/>
    <w:rsid w:val="00516D78"/>
    <w:rsid w:val="00517AC7"/>
    <w:rsid w:val="00517E11"/>
    <w:rsid w:val="00520A5D"/>
    <w:rsid w:val="00521920"/>
    <w:rsid w:val="005222E3"/>
    <w:rsid w:val="0052270F"/>
    <w:rsid w:val="00524660"/>
    <w:rsid w:val="005248B2"/>
    <w:rsid w:val="005254D6"/>
    <w:rsid w:val="00525A4C"/>
    <w:rsid w:val="00525BF6"/>
    <w:rsid w:val="00526229"/>
    <w:rsid w:val="00527A56"/>
    <w:rsid w:val="00530196"/>
    <w:rsid w:val="0053020A"/>
    <w:rsid w:val="00532D9A"/>
    <w:rsid w:val="00533108"/>
    <w:rsid w:val="00534A2F"/>
    <w:rsid w:val="00535773"/>
    <w:rsid w:val="0053714F"/>
    <w:rsid w:val="0053787C"/>
    <w:rsid w:val="00537C63"/>
    <w:rsid w:val="005408E5"/>
    <w:rsid w:val="00541436"/>
    <w:rsid w:val="0054185B"/>
    <w:rsid w:val="005426E9"/>
    <w:rsid w:val="00542A8D"/>
    <w:rsid w:val="00542DEB"/>
    <w:rsid w:val="005438D5"/>
    <w:rsid w:val="005448C8"/>
    <w:rsid w:val="0054669C"/>
    <w:rsid w:val="005502E4"/>
    <w:rsid w:val="00550752"/>
    <w:rsid w:val="005520FC"/>
    <w:rsid w:val="005523B2"/>
    <w:rsid w:val="0055331C"/>
    <w:rsid w:val="00554142"/>
    <w:rsid w:val="00554FB8"/>
    <w:rsid w:val="00555189"/>
    <w:rsid w:val="00556EC4"/>
    <w:rsid w:val="005602D7"/>
    <w:rsid w:val="005603C9"/>
    <w:rsid w:val="0056134A"/>
    <w:rsid w:val="00563A15"/>
    <w:rsid w:val="00563BCE"/>
    <w:rsid w:val="0056628A"/>
    <w:rsid w:val="00567A11"/>
    <w:rsid w:val="00572F19"/>
    <w:rsid w:val="0057412C"/>
    <w:rsid w:val="0057531F"/>
    <w:rsid w:val="00577B85"/>
    <w:rsid w:val="00577E5A"/>
    <w:rsid w:val="00580BC9"/>
    <w:rsid w:val="005814D1"/>
    <w:rsid w:val="00581CA8"/>
    <w:rsid w:val="005828C8"/>
    <w:rsid w:val="005833C1"/>
    <w:rsid w:val="0058442A"/>
    <w:rsid w:val="00584DCA"/>
    <w:rsid w:val="00585BC0"/>
    <w:rsid w:val="00586DA5"/>
    <w:rsid w:val="00587054"/>
    <w:rsid w:val="005908A3"/>
    <w:rsid w:val="00591D62"/>
    <w:rsid w:val="005920FE"/>
    <w:rsid w:val="00594DED"/>
    <w:rsid w:val="00595090"/>
    <w:rsid w:val="00596950"/>
    <w:rsid w:val="005A09A1"/>
    <w:rsid w:val="005A1379"/>
    <w:rsid w:val="005A1ECD"/>
    <w:rsid w:val="005A268D"/>
    <w:rsid w:val="005A3469"/>
    <w:rsid w:val="005A39C2"/>
    <w:rsid w:val="005A5CF2"/>
    <w:rsid w:val="005B04A5"/>
    <w:rsid w:val="005B0B15"/>
    <w:rsid w:val="005B1086"/>
    <w:rsid w:val="005B14D0"/>
    <w:rsid w:val="005B247E"/>
    <w:rsid w:val="005B3712"/>
    <w:rsid w:val="005B447E"/>
    <w:rsid w:val="005B49CF"/>
    <w:rsid w:val="005B6EBE"/>
    <w:rsid w:val="005C1616"/>
    <w:rsid w:val="005C1C0A"/>
    <w:rsid w:val="005C4907"/>
    <w:rsid w:val="005C4BBB"/>
    <w:rsid w:val="005C695D"/>
    <w:rsid w:val="005C6D26"/>
    <w:rsid w:val="005C70CE"/>
    <w:rsid w:val="005D0C23"/>
    <w:rsid w:val="005D0E38"/>
    <w:rsid w:val="005D114A"/>
    <w:rsid w:val="005D3B5B"/>
    <w:rsid w:val="005D45E6"/>
    <w:rsid w:val="005D4EFB"/>
    <w:rsid w:val="005D4FCC"/>
    <w:rsid w:val="005D6A4B"/>
    <w:rsid w:val="005E0401"/>
    <w:rsid w:val="005E0BD6"/>
    <w:rsid w:val="005E24AA"/>
    <w:rsid w:val="005E6104"/>
    <w:rsid w:val="005F0C33"/>
    <w:rsid w:val="005F10AF"/>
    <w:rsid w:val="005F3006"/>
    <w:rsid w:val="005F50CE"/>
    <w:rsid w:val="005F6399"/>
    <w:rsid w:val="00601582"/>
    <w:rsid w:val="00603022"/>
    <w:rsid w:val="006041DA"/>
    <w:rsid w:val="00604691"/>
    <w:rsid w:val="00605202"/>
    <w:rsid w:val="0060572A"/>
    <w:rsid w:val="006059C8"/>
    <w:rsid w:val="00605EE6"/>
    <w:rsid w:val="0060622C"/>
    <w:rsid w:val="00606EE1"/>
    <w:rsid w:val="00610462"/>
    <w:rsid w:val="00611480"/>
    <w:rsid w:val="006115FB"/>
    <w:rsid w:val="00611BFB"/>
    <w:rsid w:val="0061513D"/>
    <w:rsid w:val="006163CE"/>
    <w:rsid w:val="0062147C"/>
    <w:rsid w:val="00621678"/>
    <w:rsid w:val="006236CA"/>
    <w:rsid w:val="006245FD"/>
    <w:rsid w:val="00626823"/>
    <w:rsid w:val="006314A1"/>
    <w:rsid w:val="00631F32"/>
    <w:rsid w:val="006330EB"/>
    <w:rsid w:val="00633690"/>
    <w:rsid w:val="00634CB7"/>
    <w:rsid w:val="006350C3"/>
    <w:rsid w:val="00637876"/>
    <w:rsid w:val="006401B9"/>
    <w:rsid w:val="006415ED"/>
    <w:rsid w:val="00642344"/>
    <w:rsid w:val="00642418"/>
    <w:rsid w:val="00644A86"/>
    <w:rsid w:val="00645ECF"/>
    <w:rsid w:val="00650E29"/>
    <w:rsid w:val="00651483"/>
    <w:rsid w:val="00653198"/>
    <w:rsid w:val="00654729"/>
    <w:rsid w:val="00655E2A"/>
    <w:rsid w:val="006566E2"/>
    <w:rsid w:val="0066075D"/>
    <w:rsid w:val="00660877"/>
    <w:rsid w:val="0066217B"/>
    <w:rsid w:val="00663709"/>
    <w:rsid w:val="00666C31"/>
    <w:rsid w:val="00667541"/>
    <w:rsid w:val="006675C5"/>
    <w:rsid w:val="00667BBB"/>
    <w:rsid w:val="006718D2"/>
    <w:rsid w:val="00672E32"/>
    <w:rsid w:val="00672F23"/>
    <w:rsid w:val="00674572"/>
    <w:rsid w:val="006753D9"/>
    <w:rsid w:val="006754AE"/>
    <w:rsid w:val="00675C69"/>
    <w:rsid w:val="00681170"/>
    <w:rsid w:val="00682D8C"/>
    <w:rsid w:val="00684D55"/>
    <w:rsid w:val="00685B7D"/>
    <w:rsid w:val="00687605"/>
    <w:rsid w:val="00687B05"/>
    <w:rsid w:val="00687D25"/>
    <w:rsid w:val="00694754"/>
    <w:rsid w:val="00694E0B"/>
    <w:rsid w:val="006A0CA8"/>
    <w:rsid w:val="006A222B"/>
    <w:rsid w:val="006A3D56"/>
    <w:rsid w:val="006A3F1C"/>
    <w:rsid w:val="006A4081"/>
    <w:rsid w:val="006A434E"/>
    <w:rsid w:val="006A5247"/>
    <w:rsid w:val="006A561E"/>
    <w:rsid w:val="006A5F1E"/>
    <w:rsid w:val="006A6EB0"/>
    <w:rsid w:val="006B1DC2"/>
    <w:rsid w:val="006B4281"/>
    <w:rsid w:val="006B4EDB"/>
    <w:rsid w:val="006B6427"/>
    <w:rsid w:val="006B678B"/>
    <w:rsid w:val="006C0C74"/>
    <w:rsid w:val="006C0E44"/>
    <w:rsid w:val="006C14FB"/>
    <w:rsid w:val="006C21AE"/>
    <w:rsid w:val="006C2DC6"/>
    <w:rsid w:val="006C2E40"/>
    <w:rsid w:val="006C2F41"/>
    <w:rsid w:val="006C30E7"/>
    <w:rsid w:val="006C5042"/>
    <w:rsid w:val="006C5B6C"/>
    <w:rsid w:val="006C5DDA"/>
    <w:rsid w:val="006D0D56"/>
    <w:rsid w:val="006D0EC1"/>
    <w:rsid w:val="006D121A"/>
    <w:rsid w:val="006D4086"/>
    <w:rsid w:val="006E2F79"/>
    <w:rsid w:val="006E3C8D"/>
    <w:rsid w:val="006E3D9A"/>
    <w:rsid w:val="006E4152"/>
    <w:rsid w:val="006E4E42"/>
    <w:rsid w:val="006E5746"/>
    <w:rsid w:val="006F01FC"/>
    <w:rsid w:val="006F0507"/>
    <w:rsid w:val="006F30B2"/>
    <w:rsid w:val="006F3459"/>
    <w:rsid w:val="00700101"/>
    <w:rsid w:val="00701099"/>
    <w:rsid w:val="00701664"/>
    <w:rsid w:val="00702400"/>
    <w:rsid w:val="00703E01"/>
    <w:rsid w:val="0070454C"/>
    <w:rsid w:val="00704DC7"/>
    <w:rsid w:val="00706343"/>
    <w:rsid w:val="007066C4"/>
    <w:rsid w:val="00706BF2"/>
    <w:rsid w:val="00707543"/>
    <w:rsid w:val="00707C9F"/>
    <w:rsid w:val="00707F52"/>
    <w:rsid w:val="00711273"/>
    <w:rsid w:val="00711844"/>
    <w:rsid w:val="007133BA"/>
    <w:rsid w:val="00713EDE"/>
    <w:rsid w:val="007148F2"/>
    <w:rsid w:val="00715403"/>
    <w:rsid w:val="00717E21"/>
    <w:rsid w:val="007200EE"/>
    <w:rsid w:val="00720806"/>
    <w:rsid w:val="0072126D"/>
    <w:rsid w:val="007215A4"/>
    <w:rsid w:val="0072221C"/>
    <w:rsid w:val="00722703"/>
    <w:rsid w:val="007231BA"/>
    <w:rsid w:val="00724884"/>
    <w:rsid w:val="00725716"/>
    <w:rsid w:val="00727326"/>
    <w:rsid w:val="007302F2"/>
    <w:rsid w:val="00731D33"/>
    <w:rsid w:val="00733153"/>
    <w:rsid w:val="0073414C"/>
    <w:rsid w:val="00734EDA"/>
    <w:rsid w:val="0073594D"/>
    <w:rsid w:val="00736572"/>
    <w:rsid w:val="007365DE"/>
    <w:rsid w:val="00736CE4"/>
    <w:rsid w:val="007402A8"/>
    <w:rsid w:val="00744328"/>
    <w:rsid w:val="00744B06"/>
    <w:rsid w:val="00746BDB"/>
    <w:rsid w:val="00747391"/>
    <w:rsid w:val="00747965"/>
    <w:rsid w:val="00747A6E"/>
    <w:rsid w:val="00747CC4"/>
    <w:rsid w:val="00747FB1"/>
    <w:rsid w:val="007515F0"/>
    <w:rsid w:val="00751795"/>
    <w:rsid w:val="00753CE9"/>
    <w:rsid w:val="00755B29"/>
    <w:rsid w:val="007568E1"/>
    <w:rsid w:val="0076102D"/>
    <w:rsid w:val="007614CC"/>
    <w:rsid w:val="00761657"/>
    <w:rsid w:val="00761A6E"/>
    <w:rsid w:val="00761BE3"/>
    <w:rsid w:val="00761BFE"/>
    <w:rsid w:val="00762D88"/>
    <w:rsid w:val="00762F86"/>
    <w:rsid w:val="00763414"/>
    <w:rsid w:val="007635D7"/>
    <w:rsid w:val="00765B6A"/>
    <w:rsid w:val="00766257"/>
    <w:rsid w:val="00767028"/>
    <w:rsid w:val="00770E29"/>
    <w:rsid w:val="00773C8D"/>
    <w:rsid w:val="00780AD1"/>
    <w:rsid w:val="007810F8"/>
    <w:rsid w:val="00781758"/>
    <w:rsid w:val="00782E2F"/>
    <w:rsid w:val="00784BA5"/>
    <w:rsid w:val="00784C1E"/>
    <w:rsid w:val="00784E50"/>
    <w:rsid w:val="00786030"/>
    <w:rsid w:val="0078653E"/>
    <w:rsid w:val="00786876"/>
    <w:rsid w:val="00787EF3"/>
    <w:rsid w:val="00790B45"/>
    <w:rsid w:val="007937EB"/>
    <w:rsid w:val="007945C0"/>
    <w:rsid w:val="007949E5"/>
    <w:rsid w:val="00794BC8"/>
    <w:rsid w:val="007A5CA4"/>
    <w:rsid w:val="007A65D3"/>
    <w:rsid w:val="007B0FE1"/>
    <w:rsid w:val="007B2319"/>
    <w:rsid w:val="007B4E5F"/>
    <w:rsid w:val="007B51D9"/>
    <w:rsid w:val="007B619D"/>
    <w:rsid w:val="007C27EB"/>
    <w:rsid w:val="007C5621"/>
    <w:rsid w:val="007C7C1C"/>
    <w:rsid w:val="007D0255"/>
    <w:rsid w:val="007D0305"/>
    <w:rsid w:val="007D1AFA"/>
    <w:rsid w:val="007D2410"/>
    <w:rsid w:val="007D34CE"/>
    <w:rsid w:val="007D3D61"/>
    <w:rsid w:val="007E12C8"/>
    <w:rsid w:val="007E3868"/>
    <w:rsid w:val="007E3ECA"/>
    <w:rsid w:val="007E4E15"/>
    <w:rsid w:val="007E6AE2"/>
    <w:rsid w:val="007F15D9"/>
    <w:rsid w:val="007F1D24"/>
    <w:rsid w:val="007F2D06"/>
    <w:rsid w:val="007F3B25"/>
    <w:rsid w:val="007F3DCD"/>
    <w:rsid w:val="007F6CCB"/>
    <w:rsid w:val="007F7990"/>
    <w:rsid w:val="007F7BB6"/>
    <w:rsid w:val="0080296C"/>
    <w:rsid w:val="00802FFC"/>
    <w:rsid w:val="00806996"/>
    <w:rsid w:val="00807712"/>
    <w:rsid w:val="00810731"/>
    <w:rsid w:val="00810D0E"/>
    <w:rsid w:val="008116F3"/>
    <w:rsid w:val="00811B18"/>
    <w:rsid w:val="00814AE9"/>
    <w:rsid w:val="00814C04"/>
    <w:rsid w:val="00815E2B"/>
    <w:rsid w:val="0081675A"/>
    <w:rsid w:val="00816DA3"/>
    <w:rsid w:val="00816E27"/>
    <w:rsid w:val="00816E2B"/>
    <w:rsid w:val="00817729"/>
    <w:rsid w:val="008206AD"/>
    <w:rsid w:val="00820EB2"/>
    <w:rsid w:val="0082133F"/>
    <w:rsid w:val="00823CBE"/>
    <w:rsid w:val="00823E89"/>
    <w:rsid w:val="00824A8B"/>
    <w:rsid w:val="0082592C"/>
    <w:rsid w:val="00832A6A"/>
    <w:rsid w:val="00833430"/>
    <w:rsid w:val="008335CE"/>
    <w:rsid w:val="00833D87"/>
    <w:rsid w:val="0083482B"/>
    <w:rsid w:val="00837534"/>
    <w:rsid w:val="00837D13"/>
    <w:rsid w:val="00837FC5"/>
    <w:rsid w:val="00840B59"/>
    <w:rsid w:val="00840EE1"/>
    <w:rsid w:val="0084146E"/>
    <w:rsid w:val="008416BA"/>
    <w:rsid w:val="00841906"/>
    <w:rsid w:val="00842D91"/>
    <w:rsid w:val="00843BA1"/>
    <w:rsid w:val="008445D8"/>
    <w:rsid w:val="00845BFC"/>
    <w:rsid w:val="0085069B"/>
    <w:rsid w:val="00850897"/>
    <w:rsid w:val="00852105"/>
    <w:rsid w:val="0085259F"/>
    <w:rsid w:val="008529CC"/>
    <w:rsid w:val="008545C2"/>
    <w:rsid w:val="0085484E"/>
    <w:rsid w:val="00854A8F"/>
    <w:rsid w:val="00854F9C"/>
    <w:rsid w:val="00855397"/>
    <w:rsid w:val="00855710"/>
    <w:rsid w:val="008568A8"/>
    <w:rsid w:val="00857445"/>
    <w:rsid w:val="00861C5A"/>
    <w:rsid w:val="00861E52"/>
    <w:rsid w:val="008632E7"/>
    <w:rsid w:val="00864357"/>
    <w:rsid w:val="008643E1"/>
    <w:rsid w:val="008648ED"/>
    <w:rsid w:val="0086667C"/>
    <w:rsid w:val="008700A2"/>
    <w:rsid w:val="008705F1"/>
    <w:rsid w:val="008719A0"/>
    <w:rsid w:val="00872414"/>
    <w:rsid w:val="00874992"/>
    <w:rsid w:val="008763D5"/>
    <w:rsid w:val="00876471"/>
    <w:rsid w:val="00876AD6"/>
    <w:rsid w:val="0087736B"/>
    <w:rsid w:val="008839A8"/>
    <w:rsid w:val="008843A0"/>
    <w:rsid w:val="008854EC"/>
    <w:rsid w:val="00885656"/>
    <w:rsid w:val="00885AC9"/>
    <w:rsid w:val="008864AC"/>
    <w:rsid w:val="008911A2"/>
    <w:rsid w:val="008911BF"/>
    <w:rsid w:val="0089242D"/>
    <w:rsid w:val="008960D8"/>
    <w:rsid w:val="008A0806"/>
    <w:rsid w:val="008A1E5E"/>
    <w:rsid w:val="008A4DA3"/>
    <w:rsid w:val="008A4FEE"/>
    <w:rsid w:val="008A769C"/>
    <w:rsid w:val="008B0795"/>
    <w:rsid w:val="008B153E"/>
    <w:rsid w:val="008B47E7"/>
    <w:rsid w:val="008B517A"/>
    <w:rsid w:val="008B52F1"/>
    <w:rsid w:val="008B6627"/>
    <w:rsid w:val="008B6806"/>
    <w:rsid w:val="008C0C7C"/>
    <w:rsid w:val="008C2302"/>
    <w:rsid w:val="008C50BC"/>
    <w:rsid w:val="008C5566"/>
    <w:rsid w:val="008C76BD"/>
    <w:rsid w:val="008D0A8C"/>
    <w:rsid w:val="008D4B23"/>
    <w:rsid w:val="008D5AA1"/>
    <w:rsid w:val="008D63ED"/>
    <w:rsid w:val="008D67BA"/>
    <w:rsid w:val="008D7959"/>
    <w:rsid w:val="008E00ED"/>
    <w:rsid w:val="008E05A0"/>
    <w:rsid w:val="008E14CA"/>
    <w:rsid w:val="008E1688"/>
    <w:rsid w:val="008E1FD8"/>
    <w:rsid w:val="008E39AC"/>
    <w:rsid w:val="008E4FC0"/>
    <w:rsid w:val="008E539F"/>
    <w:rsid w:val="008E6913"/>
    <w:rsid w:val="008E6C4F"/>
    <w:rsid w:val="008E7BB7"/>
    <w:rsid w:val="008E7E30"/>
    <w:rsid w:val="008E7F92"/>
    <w:rsid w:val="008F0FB2"/>
    <w:rsid w:val="008F1D9E"/>
    <w:rsid w:val="008F4B14"/>
    <w:rsid w:val="008F4F7B"/>
    <w:rsid w:val="008F5E67"/>
    <w:rsid w:val="008F70D2"/>
    <w:rsid w:val="008F72A2"/>
    <w:rsid w:val="00900173"/>
    <w:rsid w:val="00900A47"/>
    <w:rsid w:val="00901227"/>
    <w:rsid w:val="009015B5"/>
    <w:rsid w:val="009019F7"/>
    <w:rsid w:val="0090353C"/>
    <w:rsid w:val="00903B44"/>
    <w:rsid w:val="009040F7"/>
    <w:rsid w:val="009051F1"/>
    <w:rsid w:val="00905CEB"/>
    <w:rsid w:val="009071FA"/>
    <w:rsid w:val="00907667"/>
    <w:rsid w:val="00907A47"/>
    <w:rsid w:val="00910A39"/>
    <w:rsid w:val="00910CDF"/>
    <w:rsid w:val="00912F39"/>
    <w:rsid w:val="0091583B"/>
    <w:rsid w:val="00920333"/>
    <w:rsid w:val="009203C5"/>
    <w:rsid w:val="0092057E"/>
    <w:rsid w:val="00920F88"/>
    <w:rsid w:val="009238B0"/>
    <w:rsid w:val="009265F8"/>
    <w:rsid w:val="0092732D"/>
    <w:rsid w:val="00927C84"/>
    <w:rsid w:val="009317FB"/>
    <w:rsid w:val="0093316C"/>
    <w:rsid w:val="00933828"/>
    <w:rsid w:val="0093498C"/>
    <w:rsid w:val="00936D40"/>
    <w:rsid w:val="00937BAB"/>
    <w:rsid w:val="00937FAE"/>
    <w:rsid w:val="00940C91"/>
    <w:rsid w:val="00940F8F"/>
    <w:rsid w:val="00941284"/>
    <w:rsid w:val="00941529"/>
    <w:rsid w:val="00943296"/>
    <w:rsid w:val="00944075"/>
    <w:rsid w:val="0094414D"/>
    <w:rsid w:val="009454AB"/>
    <w:rsid w:val="009456A7"/>
    <w:rsid w:val="009456B4"/>
    <w:rsid w:val="00946299"/>
    <w:rsid w:val="0094733F"/>
    <w:rsid w:val="0095049E"/>
    <w:rsid w:val="00950D67"/>
    <w:rsid w:val="00951F0D"/>
    <w:rsid w:val="00953502"/>
    <w:rsid w:val="00953B7D"/>
    <w:rsid w:val="00954D25"/>
    <w:rsid w:val="00955356"/>
    <w:rsid w:val="00955AAB"/>
    <w:rsid w:val="00955E45"/>
    <w:rsid w:val="00955F82"/>
    <w:rsid w:val="0095718F"/>
    <w:rsid w:val="0095735B"/>
    <w:rsid w:val="00960276"/>
    <w:rsid w:val="009602BB"/>
    <w:rsid w:val="00960493"/>
    <w:rsid w:val="00960898"/>
    <w:rsid w:val="009633C0"/>
    <w:rsid w:val="00964590"/>
    <w:rsid w:val="00966E5A"/>
    <w:rsid w:val="00967240"/>
    <w:rsid w:val="00970204"/>
    <w:rsid w:val="00971093"/>
    <w:rsid w:val="009726F1"/>
    <w:rsid w:val="0097290B"/>
    <w:rsid w:val="009731AC"/>
    <w:rsid w:val="00975A7F"/>
    <w:rsid w:val="00976753"/>
    <w:rsid w:val="00977136"/>
    <w:rsid w:val="00977493"/>
    <w:rsid w:val="00981A99"/>
    <w:rsid w:val="009822D8"/>
    <w:rsid w:val="00982F5F"/>
    <w:rsid w:val="00983E40"/>
    <w:rsid w:val="009856C1"/>
    <w:rsid w:val="00987EC0"/>
    <w:rsid w:val="0099233F"/>
    <w:rsid w:val="0099240A"/>
    <w:rsid w:val="0099320A"/>
    <w:rsid w:val="00994704"/>
    <w:rsid w:val="0099536D"/>
    <w:rsid w:val="00995BA0"/>
    <w:rsid w:val="009978E8"/>
    <w:rsid w:val="009A05DF"/>
    <w:rsid w:val="009A063F"/>
    <w:rsid w:val="009A0B92"/>
    <w:rsid w:val="009A10EB"/>
    <w:rsid w:val="009A17F8"/>
    <w:rsid w:val="009A2271"/>
    <w:rsid w:val="009A35AB"/>
    <w:rsid w:val="009A3945"/>
    <w:rsid w:val="009A63F0"/>
    <w:rsid w:val="009A7C49"/>
    <w:rsid w:val="009B29B4"/>
    <w:rsid w:val="009B3B93"/>
    <w:rsid w:val="009B5C15"/>
    <w:rsid w:val="009B6C15"/>
    <w:rsid w:val="009C0149"/>
    <w:rsid w:val="009C0C09"/>
    <w:rsid w:val="009C0CF5"/>
    <w:rsid w:val="009C13E1"/>
    <w:rsid w:val="009C35E4"/>
    <w:rsid w:val="009C4279"/>
    <w:rsid w:val="009C53F8"/>
    <w:rsid w:val="009D12DE"/>
    <w:rsid w:val="009D374E"/>
    <w:rsid w:val="009D7641"/>
    <w:rsid w:val="009D776A"/>
    <w:rsid w:val="009E0261"/>
    <w:rsid w:val="009E244D"/>
    <w:rsid w:val="009E2AFE"/>
    <w:rsid w:val="009E597F"/>
    <w:rsid w:val="009E6054"/>
    <w:rsid w:val="009F05B4"/>
    <w:rsid w:val="009F0BC8"/>
    <w:rsid w:val="009F2EF8"/>
    <w:rsid w:val="009F3963"/>
    <w:rsid w:val="009F4D59"/>
    <w:rsid w:val="009F6165"/>
    <w:rsid w:val="009F74A2"/>
    <w:rsid w:val="00A004E4"/>
    <w:rsid w:val="00A00D4B"/>
    <w:rsid w:val="00A020B6"/>
    <w:rsid w:val="00A04704"/>
    <w:rsid w:val="00A06200"/>
    <w:rsid w:val="00A066D9"/>
    <w:rsid w:val="00A0697C"/>
    <w:rsid w:val="00A0739A"/>
    <w:rsid w:val="00A07D17"/>
    <w:rsid w:val="00A10B62"/>
    <w:rsid w:val="00A10F27"/>
    <w:rsid w:val="00A12F1B"/>
    <w:rsid w:val="00A207FF"/>
    <w:rsid w:val="00A22266"/>
    <w:rsid w:val="00A22AD3"/>
    <w:rsid w:val="00A23925"/>
    <w:rsid w:val="00A254E6"/>
    <w:rsid w:val="00A3096A"/>
    <w:rsid w:val="00A30D3A"/>
    <w:rsid w:val="00A312D9"/>
    <w:rsid w:val="00A31D26"/>
    <w:rsid w:val="00A32DFE"/>
    <w:rsid w:val="00A33009"/>
    <w:rsid w:val="00A33034"/>
    <w:rsid w:val="00A33FB7"/>
    <w:rsid w:val="00A34302"/>
    <w:rsid w:val="00A34D10"/>
    <w:rsid w:val="00A34E31"/>
    <w:rsid w:val="00A35547"/>
    <w:rsid w:val="00A36779"/>
    <w:rsid w:val="00A40D93"/>
    <w:rsid w:val="00A40EE5"/>
    <w:rsid w:val="00A41C52"/>
    <w:rsid w:val="00A52712"/>
    <w:rsid w:val="00A52D02"/>
    <w:rsid w:val="00A544AD"/>
    <w:rsid w:val="00A607DB"/>
    <w:rsid w:val="00A627B1"/>
    <w:rsid w:val="00A627F8"/>
    <w:rsid w:val="00A636CB"/>
    <w:rsid w:val="00A64D0E"/>
    <w:rsid w:val="00A7470B"/>
    <w:rsid w:val="00A7660E"/>
    <w:rsid w:val="00A76647"/>
    <w:rsid w:val="00A8043A"/>
    <w:rsid w:val="00A805A6"/>
    <w:rsid w:val="00A854CA"/>
    <w:rsid w:val="00A86F08"/>
    <w:rsid w:val="00A911ED"/>
    <w:rsid w:val="00A955CF"/>
    <w:rsid w:val="00A9585E"/>
    <w:rsid w:val="00A9592B"/>
    <w:rsid w:val="00A95C58"/>
    <w:rsid w:val="00A95E85"/>
    <w:rsid w:val="00A9662A"/>
    <w:rsid w:val="00A96671"/>
    <w:rsid w:val="00A970C7"/>
    <w:rsid w:val="00AA0344"/>
    <w:rsid w:val="00AA0F0E"/>
    <w:rsid w:val="00AA208A"/>
    <w:rsid w:val="00AA21E1"/>
    <w:rsid w:val="00AA4050"/>
    <w:rsid w:val="00AA40A5"/>
    <w:rsid w:val="00AA45D4"/>
    <w:rsid w:val="00AA4C2A"/>
    <w:rsid w:val="00AA63DC"/>
    <w:rsid w:val="00AB17ED"/>
    <w:rsid w:val="00AB5BF9"/>
    <w:rsid w:val="00AB779D"/>
    <w:rsid w:val="00AC0E28"/>
    <w:rsid w:val="00AC1182"/>
    <w:rsid w:val="00AC12D4"/>
    <w:rsid w:val="00AC2613"/>
    <w:rsid w:val="00AC2EE4"/>
    <w:rsid w:val="00AC2F23"/>
    <w:rsid w:val="00AC4117"/>
    <w:rsid w:val="00AC5502"/>
    <w:rsid w:val="00AC5E4E"/>
    <w:rsid w:val="00AC7737"/>
    <w:rsid w:val="00AD0167"/>
    <w:rsid w:val="00AD3C0F"/>
    <w:rsid w:val="00AD3C1D"/>
    <w:rsid w:val="00AD60F6"/>
    <w:rsid w:val="00AD6299"/>
    <w:rsid w:val="00AD7C69"/>
    <w:rsid w:val="00AD7D7B"/>
    <w:rsid w:val="00AE02C7"/>
    <w:rsid w:val="00AE0BE3"/>
    <w:rsid w:val="00AE0D95"/>
    <w:rsid w:val="00AE1A35"/>
    <w:rsid w:val="00AE5C52"/>
    <w:rsid w:val="00AF0175"/>
    <w:rsid w:val="00AF19C8"/>
    <w:rsid w:val="00AF1CE7"/>
    <w:rsid w:val="00AF1E15"/>
    <w:rsid w:val="00AF25DF"/>
    <w:rsid w:val="00AF3A53"/>
    <w:rsid w:val="00AF43CB"/>
    <w:rsid w:val="00AF4636"/>
    <w:rsid w:val="00AF51CD"/>
    <w:rsid w:val="00AF5FBD"/>
    <w:rsid w:val="00AF6426"/>
    <w:rsid w:val="00AF6D11"/>
    <w:rsid w:val="00AF7324"/>
    <w:rsid w:val="00AF7DF7"/>
    <w:rsid w:val="00B006EA"/>
    <w:rsid w:val="00B008B8"/>
    <w:rsid w:val="00B0090E"/>
    <w:rsid w:val="00B029B9"/>
    <w:rsid w:val="00B02D6F"/>
    <w:rsid w:val="00B03B37"/>
    <w:rsid w:val="00B03BFE"/>
    <w:rsid w:val="00B03DB2"/>
    <w:rsid w:val="00B04868"/>
    <w:rsid w:val="00B04D63"/>
    <w:rsid w:val="00B06234"/>
    <w:rsid w:val="00B10E09"/>
    <w:rsid w:val="00B11C1B"/>
    <w:rsid w:val="00B122CB"/>
    <w:rsid w:val="00B12EAE"/>
    <w:rsid w:val="00B13FC4"/>
    <w:rsid w:val="00B1488C"/>
    <w:rsid w:val="00B14ECB"/>
    <w:rsid w:val="00B1535D"/>
    <w:rsid w:val="00B157F6"/>
    <w:rsid w:val="00B15E84"/>
    <w:rsid w:val="00B170D4"/>
    <w:rsid w:val="00B208FB"/>
    <w:rsid w:val="00B21734"/>
    <w:rsid w:val="00B21971"/>
    <w:rsid w:val="00B229B7"/>
    <w:rsid w:val="00B2332E"/>
    <w:rsid w:val="00B251EE"/>
    <w:rsid w:val="00B262D3"/>
    <w:rsid w:val="00B276CC"/>
    <w:rsid w:val="00B30AB8"/>
    <w:rsid w:val="00B30DF2"/>
    <w:rsid w:val="00B31115"/>
    <w:rsid w:val="00B33373"/>
    <w:rsid w:val="00B33455"/>
    <w:rsid w:val="00B3421B"/>
    <w:rsid w:val="00B347DA"/>
    <w:rsid w:val="00B34B2C"/>
    <w:rsid w:val="00B35D3A"/>
    <w:rsid w:val="00B403EB"/>
    <w:rsid w:val="00B42A43"/>
    <w:rsid w:val="00B42EE5"/>
    <w:rsid w:val="00B44041"/>
    <w:rsid w:val="00B451CD"/>
    <w:rsid w:val="00B451DA"/>
    <w:rsid w:val="00B45895"/>
    <w:rsid w:val="00B4659B"/>
    <w:rsid w:val="00B50ED1"/>
    <w:rsid w:val="00B52A86"/>
    <w:rsid w:val="00B53B43"/>
    <w:rsid w:val="00B55CB3"/>
    <w:rsid w:val="00B56491"/>
    <w:rsid w:val="00B601F2"/>
    <w:rsid w:val="00B612A7"/>
    <w:rsid w:val="00B614B8"/>
    <w:rsid w:val="00B61CA1"/>
    <w:rsid w:val="00B61D49"/>
    <w:rsid w:val="00B62A95"/>
    <w:rsid w:val="00B62C96"/>
    <w:rsid w:val="00B637D3"/>
    <w:rsid w:val="00B63F4D"/>
    <w:rsid w:val="00B6410C"/>
    <w:rsid w:val="00B64AAB"/>
    <w:rsid w:val="00B65F25"/>
    <w:rsid w:val="00B6689E"/>
    <w:rsid w:val="00B67C96"/>
    <w:rsid w:val="00B70527"/>
    <w:rsid w:val="00B707CB"/>
    <w:rsid w:val="00B71BED"/>
    <w:rsid w:val="00B73870"/>
    <w:rsid w:val="00B742F7"/>
    <w:rsid w:val="00B7434F"/>
    <w:rsid w:val="00B745F2"/>
    <w:rsid w:val="00B76AB2"/>
    <w:rsid w:val="00B76C8D"/>
    <w:rsid w:val="00B804E1"/>
    <w:rsid w:val="00B81B14"/>
    <w:rsid w:val="00B81CFB"/>
    <w:rsid w:val="00B8234C"/>
    <w:rsid w:val="00B83DAD"/>
    <w:rsid w:val="00B84BAC"/>
    <w:rsid w:val="00B864E3"/>
    <w:rsid w:val="00B865A7"/>
    <w:rsid w:val="00B87CF6"/>
    <w:rsid w:val="00B87F51"/>
    <w:rsid w:val="00B91597"/>
    <w:rsid w:val="00B91B2F"/>
    <w:rsid w:val="00B9275E"/>
    <w:rsid w:val="00B93086"/>
    <w:rsid w:val="00B937C0"/>
    <w:rsid w:val="00B93F2D"/>
    <w:rsid w:val="00B95697"/>
    <w:rsid w:val="00B95870"/>
    <w:rsid w:val="00BA0269"/>
    <w:rsid w:val="00BA09A0"/>
    <w:rsid w:val="00BA1AC1"/>
    <w:rsid w:val="00BA2416"/>
    <w:rsid w:val="00BA2747"/>
    <w:rsid w:val="00BA32B7"/>
    <w:rsid w:val="00BA40E1"/>
    <w:rsid w:val="00BA4CEE"/>
    <w:rsid w:val="00BA5E5E"/>
    <w:rsid w:val="00BB077E"/>
    <w:rsid w:val="00BB0DDA"/>
    <w:rsid w:val="00BB0F9F"/>
    <w:rsid w:val="00BB1F23"/>
    <w:rsid w:val="00BB35D6"/>
    <w:rsid w:val="00BB39B0"/>
    <w:rsid w:val="00BB3C96"/>
    <w:rsid w:val="00BB4C69"/>
    <w:rsid w:val="00BB672A"/>
    <w:rsid w:val="00BC16F8"/>
    <w:rsid w:val="00BC1C2B"/>
    <w:rsid w:val="00BC206F"/>
    <w:rsid w:val="00BC27C9"/>
    <w:rsid w:val="00BC2BA2"/>
    <w:rsid w:val="00BC2F82"/>
    <w:rsid w:val="00BC32E4"/>
    <w:rsid w:val="00BC37E3"/>
    <w:rsid w:val="00BC6CEB"/>
    <w:rsid w:val="00BD004A"/>
    <w:rsid w:val="00BD032A"/>
    <w:rsid w:val="00BD0CE6"/>
    <w:rsid w:val="00BD102E"/>
    <w:rsid w:val="00BD1E25"/>
    <w:rsid w:val="00BD23E5"/>
    <w:rsid w:val="00BD6BB7"/>
    <w:rsid w:val="00BD79B7"/>
    <w:rsid w:val="00BE0244"/>
    <w:rsid w:val="00BE509D"/>
    <w:rsid w:val="00BE5CDD"/>
    <w:rsid w:val="00BE7108"/>
    <w:rsid w:val="00BE765B"/>
    <w:rsid w:val="00BF0337"/>
    <w:rsid w:val="00BF0545"/>
    <w:rsid w:val="00BF0725"/>
    <w:rsid w:val="00BF170F"/>
    <w:rsid w:val="00BF19E3"/>
    <w:rsid w:val="00BF1B3F"/>
    <w:rsid w:val="00BF28B6"/>
    <w:rsid w:val="00BF2B3F"/>
    <w:rsid w:val="00BF4D8B"/>
    <w:rsid w:val="00BF5DFA"/>
    <w:rsid w:val="00C04B26"/>
    <w:rsid w:val="00C05C96"/>
    <w:rsid w:val="00C062DF"/>
    <w:rsid w:val="00C07F6F"/>
    <w:rsid w:val="00C1014B"/>
    <w:rsid w:val="00C11455"/>
    <w:rsid w:val="00C1163E"/>
    <w:rsid w:val="00C11905"/>
    <w:rsid w:val="00C11D0C"/>
    <w:rsid w:val="00C11E6A"/>
    <w:rsid w:val="00C1216C"/>
    <w:rsid w:val="00C1429C"/>
    <w:rsid w:val="00C15BC7"/>
    <w:rsid w:val="00C1672A"/>
    <w:rsid w:val="00C17F17"/>
    <w:rsid w:val="00C2236F"/>
    <w:rsid w:val="00C240DD"/>
    <w:rsid w:val="00C247B6"/>
    <w:rsid w:val="00C25AC4"/>
    <w:rsid w:val="00C26719"/>
    <w:rsid w:val="00C26D52"/>
    <w:rsid w:val="00C271EE"/>
    <w:rsid w:val="00C274BA"/>
    <w:rsid w:val="00C30362"/>
    <w:rsid w:val="00C32C00"/>
    <w:rsid w:val="00C33540"/>
    <w:rsid w:val="00C34250"/>
    <w:rsid w:val="00C345BD"/>
    <w:rsid w:val="00C40422"/>
    <w:rsid w:val="00C423D5"/>
    <w:rsid w:val="00C43041"/>
    <w:rsid w:val="00C43B05"/>
    <w:rsid w:val="00C43CB7"/>
    <w:rsid w:val="00C44270"/>
    <w:rsid w:val="00C45E45"/>
    <w:rsid w:val="00C46F91"/>
    <w:rsid w:val="00C501D9"/>
    <w:rsid w:val="00C50D41"/>
    <w:rsid w:val="00C510F9"/>
    <w:rsid w:val="00C51E1F"/>
    <w:rsid w:val="00C51E40"/>
    <w:rsid w:val="00C55AC4"/>
    <w:rsid w:val="00C56C2C"/>
    <w:rsid w:val="00C56E96"/>
    <w:rsid w:val="00C62A10"/>
    <w:rsid w:val="00C62CB2"/>
    <w:rsid w:val="00C63DB6"/>
    <w:rsid w:val="00C66E6E"/>
    <w:rsid w:val="00C6731D"/>
    <w:rsid w:val="00C70131"/>
    <w:rsid w:val="00C72337"/>
    <w:rsid w:val="00C73747"/>
    <w:rsid w:val="00C74773"/>
    <w:rsid w:val="00C74D88"/>
    <w:rsid w:val="00C74E5D"/>
    <w:rsid w:val="00C75517"/>
    <w:rsid w:val="00C76DA6"/>
    <w:rsid w:val="00C807B6"/>
    <w:rsid w:val="00C8198C"/>
    <w:rsid w:val="00C8232C"/>
    <w:rsid w:val="00C8455E"/>
    <w:rsid w:val="00C87A09"/>
    <w:rsid w:val="00C9071A"/>
    <w:rsid w:val="00C911D6"/>
    <w:rsid w:val="00C935BE"/>
    <w:rsid w:val="00C9606D"/>
    <w:rsid w:val="00C96CD0"/>
    <w:rsid w:val="00C97263"/>
    <w:rsid w:val="00C976BC"/>
    <w:rsid w:val="00CA2994"/>
    <w:rsid w:val="00CA3A4A"/>
    <w:rsid w:val="00CA4699"/>
    <w:rsid w:val="00CA4DDF"/>
    <w:rsid w:val="00CA5684"/>
    <w:rsid w:val="00CA590E"/>
    <w:rsid w:val="00CA64C6"/>
    <w:rsid w:val="00CB1847"/>
    <w:rsid w:val="00CB1B64"/>
    <w:rsid w:val="00CB1FC2"/>
    <w:rsid w:val="00CB37DA"/>
    <w:rsid w:val="00CB3F15"/>
    <w:rsid w:val="00CB4E98"/>
    <w:rsid w:val="00CB56DE"/>
    <w:rsid w:val="00CB57D4"/>
    <w:rsid w:val="00CB6056"/>
    <w:rsid w:val="00CB630F"/>
    <w:rsid w:val="00CB70E3"/>
    <w:rsid w:val="00CC108C"/>
    <w:rsid w:val="00CC2185"/>
    <w:rsid w:val="00CC2A15"/>
    <w:rsid w:val="00CC2B3C"/>
    <w:rsid w:val="00CC383F"/>
    <w:rsid w:val="00CC3CAD"/>
    <w:rsid w:val="00CC4047"/>
    <w:rsid w:val="00CC52BC"/>
    <w:rsid w:val="00CC62E7"/>
    <w:rsid w:val="00CC6CEF"/>
    <w:rsid w:val="00CD0AEF"/>
    <w:rsid w:val="00CD1800"/>
    <w:rsid w:val="00CD1A4D"/>
    <w:rsid w:val="00CD3E70"/>
    <w:rsid w:val="00CD5FD0"/>
    <w:rsid w:val="00CD7830"/>
    <w:rsid w:val="00CE0AB4"/>
    <w:rsid w:val="00CE0C82"/>
    <w:rsid w:val="00CE17A4"/>
    <w:rsid w:val="00CE1D8D"/>
    <w:rsid w:val="00CE2128"/>
    <w:rsid w:val="00CE2ACD"/>
    <w:rsid w:val="00CE3C5B"/>
    <w:rsid w:val="00CE4E22"/>
    <w:rsid w:val="00CE5F19"/>
    <w:rsid w:val="00CE702D"/>
    <w:rsid w:val="00CF021C"/>
    <w:rsid w:val="00CF3DB9"/>
    <w:rsid w:val="00CF473C"/>
    <w:rsid w:val="00CF6D16"/>
    <w:rsid w:val="00CF7594"/>
    <w:rsid w:val="00D005AC"/>
    <w:rsid w:val="00D00769"/>
    <w:rsid w:val="00D009DA"/>
    <w:rsid w:val="00D01391"/>
    <w:rsid w:val="00D01FC9"/>
    <w:rsid w:val="00D0261C"/>
    <w:rsid w:val="00D03C6E"/>
    <w:rsid w:val="00D06103"/>
    <w:rsid w:val="00D07024"/>
    <w:rsid w:val="00D07972"/>
    <w:rsid w:val="00D07AB9"/>
    <w:rsid w:val="00D07BAB"/>
    <w:rsid w:val="00D07CC3"/>
    <w:rsid w:val="00D107D9"/>
    <w:rsid w:val="00D10D12"/>
    <w:rsid w:val="00D12700"/>
    <w:rsid w:val="00D13CB1"/>
    <w:rsid w:val="00D145EC"/>
    <w:rsid w:val="00D15AF9"/>
    <w:rsid w:val="00D20CDE"/>
    <w:rsid w:val="00D2254B"/>
    <w:rsid w:val="00D229DF"/>
    <w:rsid w:val="00D230D3"/>
    <w:rsid w:val="00D25529"/>
    <w:rsid w:val="00D25735"/>
    <w:rsid w:val="00D25BF5"/>
    <w:rsid w:val="00D30048"/>
    <w:rsid w:val="00D303CC"/>
    <w:rsid w:val="00D3068D"/>
    <w:rsid w:val="00D30821"/>
    <w:rsid w:val="00D321FB"/>
    <w:rsid w:val="00D35462"/>
    <w:rsid w:val="00D40682"/>
    <w:rsid w:val="00D41C65"/>
    <w:rsid w:val="00D426A3"/>
    <w:rsid w:val="00D44E08"/>
    <w:rsid w:val="00D45477"/>
    <w:rsid w:val="00D474D8"/>
    <w:rsid w:val="00D47855"/>
    <w:rsid w:val="00D50A1E"/>
    <w:rsid w:val="00D52449"/>
    <w:rsid w:val="00D538E4"/>
    <w:rsid w:val="00D5452B"/>
    <w:rsid w:val="00D56246"/>
    <w:rsid w:val="00D574DB"/>
    <w:rsid w:val="00D57B08"/>
    <w:rsid w:val="00D602DA"/>
    <w:rsid w:val="00D604EB"/>
    <w:rsid w:val="00D6202C"/>
    <w:rsid w:val="00D620A7"/>
    <w:rsid w:val="00D62794"/>
    <w:rsid w:val="00D643FE"/>
    <w:rsid w:val="00D651D7"/>
    <w:rsid w:val="00D65E95"/>
    <w:rsid w:val="00D66FFB"/>
    <w:rsid w:val="00D717FA"/>
    <w:rsid w:val="00D72064"/>
    <w:rsid w:val="00D72B3C"/>
    <w:rsid w:val="00D72F6C"/>
    <w:rsid w:val="00D730D6"/>
    <w:rsid w:val="00D74C8A"/>
    <w:rsid w:val="00D75169"/>
    <w:rsid w:val="00D75AFC"/>
    <w:rsid w:val="00D7678E"/>
    <w:rsid w:val="00D770DD"/>
    <w:rsid w:val="00D77B7E"/>
    <w:rsid w:val="00D81D7A"/>
    <w:rsid w:val="00D82B7E"/>
    <w:rsid w:val="00D83C42"/>
    <w:rsid w:val="00D84E6C"/>
    <w:rsid w:val="00D84E6D"/>
    <w:rsid w:val="00D86341"/>
    <w:rsid w:val="00D86420"/>
    <w:rsid w:val="00D87029"/>
    <w:rsid w:val="00D875C8"/>
    <w:rsid w:val="00D90F11"/>
    <w:rsid w:val="00D919DE"/>
    <w:rsid w:val="00D970F2"/>
    <w:rsid w:val="00DA03D0"/>
    <w:rsid w:val="00DA0E5B"/>
    <w:rsid w:val="00DA1443"/>
    <w:rsid w:val="00DA1BC3"/>
    <w:rsid w:val="00DA38F0"/>
    <w:rsid w:val="00DA49DC"/>
    <w:rsid w:val="00DA54EC"/>
    <w:rsid w:val="00DA5D15"/>
    <w:rsid w:val="00DB0C84"/>
    <w:rsid w:val="00DB2D7E"/>
    <w:rsid w:val="00DB6992"/>
    <w:rsid w:val="00DB6B34"/>
    <w:rsid w:val="00DB79FC"/>
    <w:rsid w:val="00DC1F21"/>
    <w:rsid w:val="00DC222A"/>
    <w:rsid w:val="00DC3E25"/>
    <w:rsid w:val="00DC4B32"/>
    <w:rsid w:val="00DC6CD0"/>
    <w:rsid w:val="00DD075C"/>
    <w:rsid w:val="00DD0C77"/>
    <w:rsid w:val="00DD2FDC"/>
    <w:rsid w:val="00DD3B8A"/>
    <w:rsid w:val="00DD406F"/>
    <w:rsid w:val="00DD4BA2"/>
    <w:rsid w:val="00DD4E57"/>
    <w:rsid w:val="00DD5380"/>
    <w:rsid w:val="00DD53C8"/>
    <w:rsid w:val="00DD6135"/>
    <w:rsid w:val="00DD77D5"/>
    <w:rsid w:val="00DE1AB9"/>
    <w:rsid w:val="00DE3AC8"/>
    <w:rsid w:val="00DE4065"/>
    <w:rsid w:val="00DE4723"/>
    <w:rsid w:val="00DE4D47"/>
    <w:rsid w:val="00DE51FF"/>
    <w:rsid w:val="00DE60EA"/>
    <w:rsid w:val="00DE652C"/>
    <w:rsid w:val="00DE6A69"/>
    <w:rsid w:val="00DE70C1"/>
    <w:rsid w:val="00DF0381"/>
    <w:rsid w:val="00DF09E9"/>
    <w:rsid w:val="00DF0C56"/>
    <w:rsid w:val="00DF1C18"/>
    <w:rsid w:val="00DF25DF"/>
    <w:rsid w:val="00DF34D8"/>
    <w:rsid w:val="00DF71AD"/>
    <w:rsid w:val="00E008EB"/>
    <w:rsid w:val="00E0161F"/>
    <w:rsid w:val="00E02B90"/>
    <w:rsid w:val="00E03402"/>
    <w:rsid w:val="00E0340D"/>
    <w:rsid w:val="00E034A0"/>
    <w:rsid w:val="00E03523"/>
    <w:rsid w:val="00E0353A"/>
    <w:rsid w:val="00E041DB"/>
    <w:rsid w:val="00E071FF"/>
    <w:rsid w:val="00E11195"/>
    <w:rsid w:val="00E126CF"/>
    <w:rsid w:val="00E132E0"/>
    <w:rsid w:val="00E13D09"/>
    <w:rsid w:val="00E14435"/>
    <w:rsid w:val="00E22592"/>
    <w:rsid w:val="00E22BD8"/>
    <w:rsid w:val="00E2450F"/>
    <w:rsid w:val="00E27D15"/>
    <w:rsid w:val="00E312B1"/>
    <w:rsid w:val="00E33413"/>
    <w:rsid w:val="00E35119"/>
    <w:rsid w:val="00E35C98"/>
    <w:rsid w:val="00E36417"/>
    <w:rsid w:val="00E37D1A"/>
    <w:rsid w:val="00E37EFC"/>
    <w:rsid w:val="00E45545"/>
    <w:rsid w:val="00E45AA9"/>
    <w:rsid w:val="00E467B3"/>
    <w:rsid w:val="00E468F9"/>
    <w:rsid w:val="00E46DB1"/>
    <w:rsid w:val="00E50E0D"/>
    <w:rsid w:val="00E51CB3"/>
    <w:rsid w:val="00E5246A"/>
    <w:rsid w:val="00E52C53"/>
    <w:rsid w:val="00E53D42"/>
    <w:rsid w:val="00E53EF1"/>
    <w:rsid w:val="00E54EEA"/>
    <w:rsid w:val="00E563DD"/>
    <w:rsid w:val="00E57B87"/>
    <w:rsid w:val="00E60B51"/>
    <w:rsid w:val="00E615A3"/>
    <w:rsid w:val="00E642C8"/>
    <w:rsid w:val="00E64406"/>
    <w:rsid w:val="00E64594"/>
    <w:rsid w:val="00E6507C"/>
    <w:rsid w:val="00E65515"/>
    <w:rsid w:val="00E659C7"/>
    <w:rsid w:val="00E70718"/>
    <w:rsid w:val="00E70C77"/>
    <w:rsid w:val="00E720D2"/>
    <w:rsid w:val="00E7244F"/>
    <w:rsid w:val="00E73233"/>
    <w:rsid w:val="00E74265"/>
    <w:rsid w:val="00E76463"/>
    <w:rsid w:val="00E806F1"/>
    <w:rsid w:val="00E8164E"/>
    <w:rsid w:val="00E81C94"/>
    <w:rsid w:val="00E825C0"/>
    <w:rsid w:val="00E83224"/>
    <w:rsid w:val="00E83683"/>
    <w:rsid w:val="00E877F3"/>
    <w:rsid w:val="00E90B71"/>
    <w:rsid w:val="00E91387"/>
    <w:rsid w:val="00E9228B"/>
    <w:rsid w:val="00E93A3A"/>
    <w:rsid w:val="00E94F70"/>
    <w:rsid w:val="00E9574C"/>
    <w:rsid w:val="00E95A76"/>
    <w:rsid w:val="00E95FF3"/>
    <w:rsid w:val="00E9631D"/>
    <w:rsid w:val="00E96742"/>
    <w:rsid w:val="00E96B84"/>
    <w:rsid w:val="00E96E33"/>
    <w:rsid w:val="00E97288"/>
    <w:rsid w:val="00E9755B"/>
    <w:rsid w:val="00E976EF"/>
    <w:rsid w:val="00EA285A"/>
    <w:rsid w:val="00EA4529"/>
    <w:rsid w:val="00EA45CE"/>
    <w:rsid w:val="00EA52FA"/>
    <w:rsid w:val="00EA6513"/>
    <w:rsid w:val="00EA7282"/>
    <w:rsid w:val="00EA7955"/>
    <w:rsid w:val="00EB0489"/>
    <w:rsid w:val="00EB1023"/>
    <w:rsid w:val="00EB2D0A"/>
    <w:rsid w:val="00EB3574"/>
    <w:rsid w:val="00EB4528"/>
    <w:rsid w:val="00EB5F3A"/>
    <w:rsid w:val="00EB75BF"/>
    <w:rsid w:val="00EC050B"/>
    <w:rsid w:val="00EC0C02"/>
    <w:rsid w:val="00EC3A9D"/>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545"/>
    <w:rsid w:val="00EE764C"/>
    <w:rsid w:val="00EE7F46"/>
    <w:rsid w:val="00EF2BD2"/>
    <w:rsid w:val="00EF4446"/>
    <w:rsid w:val="00EF4EF1"/>
    <w:rsid w:val="00EF6226"/>
    <w:rsid w:val="00EF67C0"/>
    <w:rsid w:val="00EF6ABE"/>
    <w:rsid w:val="00F024C1"/>
    <w:rsid w:val="00F03B7D"/>
    <w:rsid w:val="00F05DF6"/>
    <w:rsid w:val="00F067AB"/>
    <w:rsid w:val="00F075D8"/>
    <w:rsid w:val="00F07B54"/>
    <w:rsid w:val="00F10111"/>
    <w:rsid w:val="00F10E29"/>
    <w:rsid w:val="00F117EA"/>
    <w:rsid w:val="00F149B1"/>
    <w:rsid w:val="00F14B05"/>
    <w:rsid w:val="00F15784"/>
    <w:rsid w:val="00F15D28"/>
    <w:rsid w:val="00F161D7"/>
    <w:rsid w:val="00F2027B"/>
    <w:rsid w:val="00F22DD8"/>
    <w:rsid w:val="00F23200"/>
    <w:rsid w:val="00F23ED3"/>
    <w:rsid w:val="00F27055"/>
    <w:rsid w:val="00F30BC8"/>
    <w:rsid w:val="00F30F9F"/>
    <w:rsid w:val="00F31849"/>
    <w:rsid w:val="00F32E2D"/>
    <w:rsid w:val="00F346F3"/>
    <w:rsid w:val="00F35486"/>
    <w:rsid w:val="00F3700B"/>
    <w:rsid w:val="00F40397"/>
    <w:rsid w:val="00F40B00"/>
    <w:rsid w:val="00F40B6D"/>
    <w:rsid w:val="00F415A9"/>
    <w:rsid w:val="00F41C0D"/>
    <w:rsid w:val="00F42F43"/>
    <w:rsid w:val="00F4370F"/>
    <w:rsid w:val="00F4589C"/>
    <w:rsid w:val="00F458A4"/>
    <w:rsid w:val="00F50910"/>
    <w:rsid w:val="00F51EF9"/>
    <w:rsid w:val="00F523C8"/>
    <w:rsid w:val="00F53793"/>
    <w:rsid w:val="00F53DA5"/>
    <w:rsid w:val="00F54C57"/>
    <w:rsid w:val="00F54E38"/>
    <w:rsid w:val="00F55FC0"/>
    <w:rsid w:val="00F57118"/>
    <w:rsid w:val="00F5716D"/>
    <w:rsid w:val="00F6043A"/>
    <w:rsid w:val="00F60F20"/>
    <w:rsid w:val="00F620C0"/>
    <w:rsid w:val="00F62531"/>
    <w:rsid w:val="00F62C52"/>
    <w:rsid w:val="00F64289"/>
    <w:rsid w:val="00F64B86"/>
    <w:rsid w:val="00F6613E"/>
    <w:rsid w:val="00F7262B"/>
    <w:rsid w:val="00F72D74"/>
    <w:rsid w:val="00F72F32"/>
    <w:rsid w:val="00F735B0"/>
    <w:rsid w:val="00F74461"/>
    <w:rsid w:val="00F7546A"/>
    <w:rsid w:val="00F7666B"/>
    <w:rsid w:val="00F7714C"/>
    <w:rsid w:val="00F81D44"/>
    <w:rsid w:val="00F8431B"/>
    <w:rsid w:val="00F87372"/>
    <w:rsid w:val="00F91624"/>
    <w:rsid w:val="00F923A1"/>
    <w:rsid w:val="00F924E4"/>
    <w:rsid w:val="00F94925"/>
    <w:rsid w:val="00F962E4"/>
    <w:rsid w:val="00F96410"/>
    <w:rsid w:val="00F965CA"/>
    <w:rsid w:val="00FA0245"/>
    <w:rsid w:val="00FA02F7"/>
    <w:rsid w:val="00FA034F"/>
    <w:rsid w:val="00FA16BF"/>
    <w:rsid w:val="00FA25DD"/>
    <w:rsid w:val="00FA2DD6"/>
    <w:rsid w:val="00FA50A0"/>
    <w:rsid w:val="00FA59AA"/>
    <w:rsid w:val="00FA5F12"/>
    <w:rsid w:val="00FA6AC4"/>
    <w:rsid w:val="00FA7A87"/>
    <w:rsid w:val="00FB47C6"/>
    <w:rsid w:val="00FB634A"/>
    <w:rsid w:val="00FB64D0"/>
    <w:rsid w:val="00FC1013"/>
    <w:rsid w:val="00FC107B"/>
    <w:rsid w:val="00FC419C"/>
    <w:rsid w:val="00FC468A"/>
    <w:rsid w:val="00FC7DFA"/>
    <w:rsid w:val="00FD14FC"/>
    <w:rsid w:val="00FD4981"/>
    <w:rsid w:val="00FD4B5C"/>
    <w:rsid w:val="00FD6BA5"/>
    <w:rsid w:val="00FD78D0"/>
    <w:rsid w:val="00FE069F"/>
    <w:rsid w:val="00FE0BC0"/>
    <w:rsid w:val="00FE11F5"/>
    <w:rsid w:val="00FE1AA1"/>
    <w:rsid w:val="00FE313F"/>
    <w:rsid w:val="00FE4556"/>
    <w:rsid w:val="00FE7874"/>
    <w:rsid w:val="00FE7B12"/>
    <w:rsid w:val="00FF322B"/>
    <w:rsid w:val="00FF4E8C"/>
    <w:rsid w:val="00FF5EA9"/>
    <w:rsid w:val="00FF6264"/>
    <w:rsid w:val="00FF7F5E"/>
    <w:rsid w:val="014A3497"/>
    <w:rsid w:val="015412D3"/>
    <w:rsid w:val="018F2A23"/>
    <w:rsid w:val="01C240C5"/>
    <w:rsid w:val="01C85568"/>
    <w:rsid w:val="01E526D6"/>
    <w:rsid w:val="02062987"/>
    <w:rsid w:val="023A6DB7"/>
    <w:rsid w:val="02CE7BF5"/>
    <w:rsid w:val="02E731CC"/>
    <w:rsid w:val="02EA5097"/>
    <w:rsid w:val="03391335"/>
    <w:rsid w:val="03880ACA"/>
    <w:rsid w:val="03F622FA"/>
    <w:rsid w:val="040756C8"/>
    <w:rsid w:val="0437096C"/>
    <w:rsid w:val="0442332D"/>
    <w:rsid w:val="04865E5D"/>
    <w:rsid w:val="04EC199C"/>
    <w:rsid w:val="04FE52FD"/>
    <w:rsid w:val="05354AC9"/>
    <w:rsid w:val="053E7515"/>
    <w:rsid w:val="05872A3E"/>
    <w:rsid w:val="05A332EC"/>
    <w:rsid w:val="05DF3A8E"/>
    <w:rsid w:val="062E1012"/>
    <w:rsid w:val="067E2AEF"/>
    <w:rsid w:val="06840D33"/>
    <w:rsid w:val="06940752"/>
    <w:rsid w:val="06FB7A5E"/>
    <w:rsid w:val="06FE4FB8"/>
    <w:rsid w:val="070C53EC"/>
    <w:rsid w:val="072C0798"/>
    <w:rsid w:val="074664EF"/>
    <w:rsid w:val="0749493A"/>
    <w:rsid w:val="07503905"/>
    <w:rsid w:val="07800426"/>
    <w:rsid w:val="081274BD"/>
    <w:rsid w:val="08796F2B"/>
    <w:rsid w:val="089765B5"/>
    <w:rsid w:val="08CE64B7"/>
    <w:rsid w:val="08D3059E"/>
    <w:rsid w:val="08EF6F39"/>
    <w:rsid w:val="0910085B"/>
    <w:rsid w:val="09493A27"/>
    <w:rsid w:val="0949545D"/>
    <w:rsid w:val="098C61B7"/>
    <w:rsid w:val="09AE0211"/>
    <w:rsid w:val="09E965A1"/>
    <w:rsid w:val="09EE3C2F"/>
    <w:rsid w:val="09FC2829"/>
    <w:rsid w:val="0A767F7B"/>
    <w:rsid w:val="0A904C97"/>
    <w:rsid w:val="0ADD5273"/>
    <w:rsid w:val="0B1011FD"/>
    <w:rsid w:val="0BFF1BBB"/>
    <w:rsid w:val="0C1B2611"/>
    <w:rsid w:val="0C531544"/>
    <w:rsid w:val="0C624537"/>
    <w:rsid w:val="0DD25F6B"/>
    <w:rsid w:val="0E106078"/>
    <w:rsid w:val="0E892CA7"/>
    <w:rsid w:val="0EC32117"/>
    <w:rsid w:val="0EE164D1"/>
    <w:rsid w:val="0F2C3E82"/>
    <w:rsid w:val="0FB15515"/>
    <w:rsid w:val="0FF40939"/>
    <w:rsid w:val="10144428"/>
    <w:rsid w:val="101E2862"/>
    <w:rsid w:val="10323938"/>
    <w:rsid w:val="105623A3"/>
    <w:rsid w:val="106A1128"/>
    <w:rsid w:val="106D6AD9"/>
    <w:rsid w:val="10B658A0"/>
    <w:rsid w:val="11427ACE"/>
    <w:rsid w:val="11551400"/>
    <w:rsid w:val="118D664C"/>
    <w:rsid w:val="11CE3970"/>
    <w:rsid w:val="12075716"/>
    <w:rsid w:val="12130052"/>
    <w:rsid w:val="12191BC0"/>
    <w:rsid w:val="12311EEA"/>
    <w:rsid w:val="124E70EF"/>
    <w:rsid w:val="12890F9C"/>
    <w:rsid w:val="128C542D"/>
    <w:rsid w:val="12B84A28"/>
    <w:rsid w:val="12C30EA6"/>
    <w:rsid w:val="130F403A"/>
    <w:rsid w:val="13125001"/>
    <w:rsid w:val="137A0BF4"/>
    <w:rsid w:val="13882F82"/>
    <w:rsid w:val="145D1B16"/>
    <w:rsid w:val="146B79CF"/>
    <w:rsid w:val="14A50675"/>
    <w:rsid w:val="14B21CD4"/>
    <w:rsid w:val="14F16BFD"/>
    <w:rsid w:val="150031B2"/>
    <w:rsid w:val="150E31E5"/>
    <w:rsid w:val="15326DD2"/>
    <w:rsid w:val="154714AE"/>
    <w:rsid w:val="15A57E65"/>
    <w:rsid w:val="15B80311"/>
    <w:rsid w:val="15FE2DBC"/>
    <w:rsid w:val="16205AB8"/>
    <w:rsid w:val="162C59AE"/>
    <w:rsid w:val="163B2D77"/>
    <w:rsid w:val="166C26BE"/>
    <w:rsid w:val="169D57CE"/>
    <w:rsid w:val="173F404B"/>
    <w:rsid w:val="175110E6"/>
    <w:rsid w:val="17861422"/>
    <w:rsid w:val="178D3568"/>
    <w:rsid w:val="18053A84"/>
    <w:rsid w:val="18194FA3"/>
    <w:rsid w:val="18A903A3"/>
    <w:rsid w:val="18D148E2"/>
    <w:rsid w:val="18EE1C2E"/>
    <w:rsid w:val="19655BDC"/>
    <w:rsid w:val="1A2242C8"/>
    <w:rsid w:val="1A53329C"/>
    <w:rsid w:val="1A5667AD"/>
    <w:rsid w:val="1B070259"/>
    <w:rsid w:val="1B0F513E"/>
    <w:rsid w:val="1B3843B5"/>
    <w:rsid w:val="1B461E40"/>
    <w:rsid w:val="1BA13D50"/>
    <w:rsid w:val="1BBB2147"/>
    <w:rsid w:val="1BC642DA"/>
    <w:rsid w:val="1BDE4B0C"/>
    <w:rsid w:val="1C2810F5"/>
    <w:rsid w:val="1C461F8C"/>
    <w:rsid w:val="1CC7076A"/>
    <w:rsid w:val="1D6A61CD"/>
    <w:rsid w:val="1D715B34"/>
    <w:rsid w:val="1DDF2B64"/>
    <w:rsid w:val="1E7B61B3"/>
    <w:rsid w:val="1EC25368"/>
    <w:rsid w:val="1EDE2764"/>
    <w:rsid w:val="1F6E5E9C"/>
    <w:rsid w:val="2002278E"/>
    <w:rsid w:val="20116518"/>
    <w:rsid w:val="20142C96"/>
    <w:rsid w:val="20DE2A89"/>
    <w:rsid w:val="21646B9A"/>
    <w:rsid w:val="216655BB"/>
    <w:rsid w:val="217D2F0F"/>
    <w:rsid w:val="21924DB0"/>
    <w:rsid w:val="219B58C5"/>
    <w:rsid w:val="21B019A1"/>
    <w:rsid w:val="21B610ED"/>
    <w:rsid w:val="21D46CBE"/>
    <w:rsid w:val="21D911FC"/>
    <w:rsid w:val="21F72147"/>
    <w:rsid w:val="222E79CC"/>
    <w:rsid w:val="222F242D"/>
    <w:rsid w:val="223C682F"/>
    <w:rsid w:val="226D43F3"/>
    <w:rsid w:val="22A632AE"/>
    <w:rsid w:val="22E62348"/>
    <w:rsid w:val="232E3D8A"/>
    <w:rsid w:val="23341051"/>
    <w:rsid w:val="236C2819"/>
    <w:rsid w:val="23F170D6"/>
    <w:rsid w:val="24544796"/>
    <w:rsid w:val="250064A8"/>
    <w:rsid w:val="252C4755"/>
    <w:rsid w:val="26134935"/>
    <w:rsid w:val="26C5646C"/>
    <w:rsid w:val="26F14180"/>
    <w:rsid w:val="274041F9"/>
    <w:rsid w:val="27475F0D"/>
    <w:rsid w:val="275064D4"/>
    <w:rsid w:val="27506711"/>
    <w:rsid w:val="2773457A"/>
    <w:rsid w:val="27AC1403"/>
    <w:rsid w:val="27AE573E"/>
    <w:rsid w:val="28141312"/>
    <w:rsid w:val="284D115B"/>
    <w:rsid w:val="28997467"/>
    <w:rsid w:val="28AC4A3E"/>
    <w:rsid w:val="2959427D"/>
    <w:rsid w:val="29A67E2F"/>
    <w:rsid w:val="29C40280"/>
    <w:rsid w:val="29C47413"/>
    <w:rsid w:val="2A3F4923"/>
    <w:rsid w:val="2A4A3FEE"/>
    <w:rsid w:val="2A83307B"/>
    <w:rsid w:val="2AE35A6E"/>
    <w:rsid w:val="2B5C33B8"/>
    <w:rsid w:val="2B8506BC"/>
    <w:rsid w:val="2BBB561F"/>
    <w:rsid w:val="2BCF7905"/>
    <w:rsid w:val="2BD20FC6"/>
    <w:rsid w:val="2CB64053"/>
    <w:rsid w:val="2CC73D58"/>
    <w:rsid w:val="2D2657FD"/>
    <w:rsid w:val="2D58395D"/>
    <w:rsid w:val="2D6E0202"/>
    <w:rsid w:val="2D730B9E"/>
    <w:rsid w:val="2D7F0DD2"/>
    <w:rsid w:val="2DB262F4"/>
    <w:rsid w:val="2E117758"/>
    <w:rsid w:val="2E677EEF"/>
    <w:rsid w:val="2E717C4E"/>
    <w:rsid w:val="2EE2113D"/>
    <w:rsid w:val="2F3B31BA"/>
    <w:rsid w:val="2F9A6490"/>
    <w:rsid w:val="302238AB"/>
    <w:rsid w:val="30614585"/>
    <w:rsid w:val="30A1634C"/>
    <w:rsid w:val="30A7672A"/>
    <w:rsid w:val="30AF7DB3"/>
    <w:rsid w:val="30B70A55"/>
    <w:rsid w:val="310C0677"/>
    <w:rsid w:val="314344C2"/>
    <w:rsid w:val="31437526"/>
    <w:rsid w:val="315E2033"/>
    <w:rsid w:val="31840261"/>
    <w:rsid w:val="31962C6A"/>
    <w:rsid w:val="31AB127A"/>
    <w:rsid w:val="31AC4C0D"/>
    <w:rsid w:val="326974E3"/>
    <w:rsid w:val="3287408F"/>
    <w:rsid w:val="32ED0C7B"/>
    <w:rsid w:val="32F86BB4"/>
    <w:rsid w:val="331B7795"/>
    <w:rsid w:val="33D358F9"/>
    <w:rsid w:val="34307ED9"/>
    <w:rsid w:val="343E3121"/>
    <w:rsid w:val="34864BCB"/>
    <w:rsid w:val="34890FCE"/>
    <w:rsid w:val="34AF5A88"/>
    <w:rsid w:val="34D63BBA"/>
    <w:rsid w:val="35191780"/>
    <w:rsid w:val="35615B99"/>
    <w:rsid w:val="35A6123D"/>
    <w:rsid w:val="35B161C5"/>
    <w:rsid w:val="35C56010"/>
    <w:rsid w:val="36122741"/>
    <w:rsid w:val="361E7235"/>
    <w:rsid w:val="3676176F"/>
    <w:rsid w:val="367C69B1"/>
    <w:rsid w:val="368F3460"/>
    <w:rsid w:val="36951B10"/>
    <w:rsid w:val="36AF5A2E"/>
    <w:rsid w:val="36F702D3"/>
    <w:rsid w:val="370E03E0"/>
    <w:rsid w:val="37133C6C"/>
    <w:rsid w:val="3761621D"/>
    <w:rsid w:val="3788765E"/>
    <w:rsid w:val="37CF79DA"/>
    <w:rsid w:val="37D06DB7"/>
    <w:rsid w:val="37DA3DE1"/>
    <w:rsid w:val="380D7123"/>
    <w:rsid w:val="3819443F"/>
    <w:rsid w:val="381C6811"/>
    <w:rsid w:val="385D4D38"/>
    <w:rsid w:val="386C7148"/>
    <w:rsid w:val="3883174E"/>
    <w:rsid w:val="38AF2FFE"/>
    <w:rsid w:val="38F702EC"/>
    <w:rsid w:val="39270F6E"/>
    <w:rsid w:val="39690962"/>
    <w:rsid w:val="396A3E66"/>
    <w:rsid w:val="398D0713"/>
    <w:rsid w:val="3A314455"/>
    <w:rsid w:val="3A3C5373"/>
    <w:rsid w:val="3A9622F8"/>
    <w:rsid w:val="3B3168D8"/>
    <w:rsid w:val="3B5247DA"/>
    <w:rsid w:val="3B895793"/>
    <w:rsid w:val="3B8C1433"/>
    <w:rsid w:val="3BB40E5E"/>
    <w:rsid w:val="3BFA4043"/>
    <w:rsid w:val="3C1D07F7"/>
    <w:rsid w:val="3C506FCA"/>
    <w:rsid w:val="3CAA60ED"/>
    <w:rsid w:val="3D603D43"/>
    <w:rsid w:val="3DE845AB"/>
    <w:rsid w:val="3DF30CBC"/>
    <w:rsid w:val="3E551100"/>
    <w:rsid w:val="3E67448F"/>
    <w:rsid w:val="3E9C6258"/>
    <w:rsid w:val="3EED5FD4"/>
    <w:rsid w:val="3FD0714A"/>
    <w:rsid w:val="400A027C"/>
    <w:rsid w:val="403F7EB4"/>
    <w:rsid w:val="40AD6C2A"/>
    <w:rsid w:val="40B575FC"/>
    <w:rsid w:val="40C720A3"/>
    <w:rsid w:val="40F4475B"/>
    <w:rsid w:val="41395735"/>
    <w:rsid w:val="41946BC5"/>
    <w:rsid w:val="41C0381B"/>
    <w:rsid w:val="41DE4E35"/>
    <w:rsid w:val="422553A0"/>
    <w:rsid w:val="42BA4A98"/>
    <w:rsid w:val="430934D8"/>
    <w:rsid w:val="432406DA"/>
    <w:rsid w:val="43821903"/>
    <w:rsid w:val="438564C3"/>
    <w:rsid w:val="439F0763"/>
    <w:rsid w:val="443D3B05"/>
    <w:rsid w:val="446D41ED"/>
    <w:rsid w:val="45121398"/>
    <w:rsid w:val="452A615B"/>
    <w:rsid w:val="464068E1"/>
    <w:rsid w:val="46794D02"/>
    <w:rsid w:val="46C91DC6"/>
    <w:rsid w:val="46EB6C33"/>
    <w:rsid w:val="47176662"/>
    <w:rsid w:val="47330216"/>
    <w:rsid w:val="47890239"/>
    <w:rsid w:val="47EC1AAB"/>
    <w:rsid w:val="47ED19B9"/>
    <w:rsid w:val="483523C8"/>
    <w:rsid w:val="48406B69"/>
    <w:rsid w:val="48B1481B"/>
    <w:rsid w:val="48DD707D"/>
    <w:rsid w:val="492D7486"/>
    <w:rsid w:val="49371B1B"/>
    <w:rsid w:val="49E4237E"/>
    <w:rsid w:val="49FC606A"/>
    <w:rsid w:val="4A2171A3"/>
    <w:rsid w:val="4A2A53F9"/>
    <w:rsid w:val="4A3D377A"/>
    <w:rsid w:val="4A6E1D1A"/>
    <w:rsid w:val="4A7607CF"/>
    <w:rsid w:val="4AB252EB"/>
    <w:rsid w:val="4AD30F72"/>
    <w:rsid w:val="4B21534A"/>
    <w:rsid w:val="4B30217F"/>
    <w:rsid w:val="4B87546B"/>
    <w:rsid w:val="4BDD1F2C"/>
    <w:rsid w:val="4C7A1B29"/>
    <w:rsid w:val="4C887E4F"/>
    <w:rsid w:val="4C946858"/>
    <w:rsid w:val="4CCB253D"/>
    <w:rsid w:val="4CEB5D8D"/>
    <w:rsid w:val="4CFE5EB4"/>
    <w:rsid w:val="4D2130CD"/>
    <w:rsid w:val="4D68523F"/>
    <w:rsid w:val="4D8569F7"/>
    <w:rsid w:val="4DDC58F2"/>
    <w:rsid w:val="4E8066B2"/>
    <w:rsid w:val="4EEC04C4"/>
    <w:rsid w:val="4F123364"/>
    <w:rsid w:val="4F692259"/>
    <w:rsid w:val="4F8E18FA"/>
    <w:rsid w:val="4FBA6E71"/>
    <w:rsid w:val="4FC35DA0"/>
    <w:rsid w:val="4FDB6403"/>
    <w:rsid w:val="505B545A"/>
    <w:rsid w:val="50721455"/>
    <w:rsid w:val="509B4053"/>
    <w:rsid w:val="50E11FBF"/>
    <w:rsid w:val="50E24748"/>
    <w:rsid w:val="5134662F"/>
    <w:rsid w:val="515B5526"/>
    <w:rsid w:val="518948FC"/>
    <w:rsid w:val="51947761"/>
    <w:rsid w:val="520D2A6E"/>
    <w:rsid w:val="523641CD"/>
    <w:rsid w:val="52462A64"/>
    <w:rsid w:val="52650157"/>
    <w:rsid w:val="527E5CD8"/>
    <w:rsid w:val="53041B96"/>
    <w:rsid w:val="532671F6"/>
    <w:rsid w:val="532F677F"/>
    <w:rsid w:val="5353133A"/>
    <w:rsid w:val="53695157"/>
    <w:rsid w:val="538E7E0E"/>
    <w:rsid w:val="53A9141F"/>
    <w:rsid w:val="53A94C7C"/>
    <w:rsid w:val="53B057BE"/>
    <w:rsid w:val="53B8062A"/>
    <w:rsid w:val="53FA5AC5"/>
    <w:rsid w:val="54040C26"/>
    <w:rsid w:val="54BB70CB"/>
    <w:rsid w:val="54C60089"/>
    <w:rsid w:val="54CF4942"/>
    <w:rsid w:val="551748C9"/>
    <w:rsid w:val="55E5537F"/>
    <w:rsid w:val="566763C2"/>
    <w:rsid w:val="568C7399"/>
    <w:rsid w:val="56936889"/>
    <w:rsid w:val="56D22CBF"/>
    <w:rsid w:val="57247C8E"/>
    <w:rsid w:val="573F07CE"/>
    <w:rsid w:val="57430718"/>
    <w:rsid w:val="575C6B0E"/>
    <w:rsid w:val="57DD06FB"/>
    <w:rsid w:val="58081E23"/>
    <w:rsid w:val="581E60F9"/>
    <w:rsid w:val="583955E3"/>
    <w:rsid w:val="58E90BEC"/>
    <w:rsid w:val="59353500"/>
    <w:rsid w:val="595F75A0"/>
    <w:rsid w:val="59F01231"/>
    <w:rsid w:val="5A0763A6"/>
    <w:rsid w:val="5A24294F"/>
    <w:rsid w:val="5BB66ECD"/>
    <w:rsid w:val="5C0F4EF2"/>
    <w:rsid w:val="5C1D311C"/>
    <w:rsid w:val="5C645407"/>
    <w:rsid w:val="5CA5418C"/>
    <w:rsid w:val="5D0A10CB"/>
    <w:rsid w:val="5D310A61"/>
    <w:rsid w:val="5D4A0567"/>
    <w:rsid w:val="5E15431C"/>
    <w:rsid w:val="5E4148DF"/>
    <w:rsid w:val="5E9216DC"/>
    <w:rsid w:val="5EE07A24"/>
    <w:rsid w:val="5EE974A2"/>
    <w:rsid w:val="5F04337A"/>
    <w:rsid w:val="5F43675D"/>
    <w:rsid w:val="5F5E7A8B"/>
    <w:rsid w:val="5FAB6AA1"/>
    <w:rsid w:val="5FBA4863"/>
    <w:rsid w:val="5FC41FE3"/>
    <w:rsid w:val="5FCA5734"/>
    <w:rsid w:val="60307FEB"/>
    <w:rsid w:val="604310BB"/>
    <w:rsid w:val="6082673D"/>
    <w:rsid w:val="60C717C6"/>
    <w:rsid w:val="61555D48"/>
    <w:rsid w:val="617F6633"/>
    <w:rsid w:val="61995617"/>
    <w:rsid w:val="620A34D6"/>
    <w:rsid w:val="629B0567"/>
    <w:rsid w:val="629D27F8"/>
    <w:rsid w:val="631A37CB"/>
    <w:rsid w:val="631B14B7"/>
    <w:rsid w:val="63525877"/>
    <w:rsid w:val="63D55FCA"/>
    <w:rsid w:val="63F45C39"/>
    <w:rsid w:val="64184B71"/>
    <w:rsid w:val="64370E53"/>
    <w:rsid w:val="643B757D"/>
    <w:rsid w:val="6475171B"/>
    <w:rsid w:val="64766B04"/>
    <w:rsid w:val="64D55DC9"/>
    <w:rsid w:val="651C1A0A"/>
    <w:rsid w:val="65323D7E"/>
    <w:rsid w:val="65545D93"/>
    <w:rsid w:val="655756FB"/>
    <w:rsid w:val="65933554"/>
    <w:rsid w:val="65987D3B"/>
    <w:rsid w:val="659C346C"/>
    <w:rsid w:val="65A969A8"/>
    <w:rsid w:val="65DD23EA"/>
    <w:rsid w:val="65DF377C"/>
    <w:rsid w:val="65F378DB"/>
    <w:rsid w:val="66134761"/>
    <w:rsid w:val="667D7B58"/>
    <w:rsid w:val="66A303B4"/>
    <w:rsid w:val="66D3204C"/>
    <w:rsid w:val="67214DD4"/>
    <w:rsid w:val="677F6617"/>
    <w:rsid w:val="678C44EF"/>
    <w:rsid w:val="67C2369C"/>
    <w:rsid w:val="67C636C0"/>
    <w:rsid w:val="67DC560B"/>
    <w:rsid w:val="67FD35C5"/>
    <w:rsid w:val="68482C3A"/>
    <w:rsid w:val="686A04F4"/>
    <w:rsid w:val="68830699"/>
    <w:rsid w:val="692E06D9"/>
    <w:rsid w:val="698306ED"/>
    <w:rsid w:val="69D76657"/>
    <w:rsid w:val="69DE4B53"/>
    <w:rsid w:val="6A1776FD"/>
    <w:rsid w:val="6A7B3455"/>
    <w:rsid w:val="6A800D8C"/>
    <w:rsid w:val="6B3C6158"/>
    <w:rsid w:val="6B4430EF"/>
    <w:rsid w:val="6C305C8C"/>
    <w:rsid w:val="6C5B5020"/>
    <w:rsid w:val="6CF26E12"/>
    <w:rsid w:val="6D2818E2"/>
    <w:rsid w:val="6D652B7D"/>
    <w:rsid w:val="6D8021F5"/>
    <w:rsid w:val="6D934472"/>
    <w:rsid w:val="6DEA0819"/>
    <w:rsid w:val="6DFC766C"/>
    <w:rsid w:val="6E2502AD"/>
    <w:rsid w:val="6E2F49A7"/>
    <w:rsid w:val="6E514E64"/>
    <w:rsid w:val="6E556E83"/>
    <w:rsid w:val="6E60553A"/>
    <w:rsid w:val="6E8B6250"/>
    <w:rsid w:val="6ED0468A"/>
    <w:rsid w:val="6F736D3E"/>
    <w:rsid w:val="6FB90147"/>
    <w:rsid w:val="6FDE6744"/>
    <w:rsid w:val="70510BAE"/>
    <w:rsid w:val="70886E16"/>
    <w:rsid w:val="70AB4717"/>
    <w:rsid w:val="70E351F6"/>
    <w:rsid w:val="712C011D"/>
    <w:rsid w:val="715630ED"/>
    <w:rsid w:val="715B008B"/>
    <w:rsid w:val="7165040A"/>
    <w:rsid w:val="71891F6B"/>
    <w:rsid w:val="71C75528"/>
    <w:rsid w:val="7205344D"/>
    <w:rsid w:val="720F16C6"/>
    <w:rsid w:val="72584A90"/>
    <w:rsid w:val="72964E5C"/>
    <w:rsid w:val="72F44EAA"/>
    <w:rsid w:val="72FF600D"/>
    <w:rsid w:val="733C1494"/>
    <w:rsid w:val="73411589"/>
    <w:rsid w:val="73780058"/>
    <w:rsid w:val="73930BC9"/>
    <w:rsid w:val="739B063D"/>
    <w:rsid w:val="73AA1E5A"/>
    <w:rsid w:val="73B97FED"/>
    <w:rsid w:val="73C55949"/>
    <w:rsid w:val="74183EFC"/>
    <w:rsid w:val="746B00D4"/>
    <w:rsid w:val="74AF79EE"/>
    <w:rsid w:val="74B06065"/>
    <w:rsid w:val="74C5374B"/>
    <w:rsid w:val="74D67449"/>
    <w:rsid w:val="74E86111"/>
    <w:rsid w:val="7502783B"/>
    <w:rsid w:val="750C254B"/>
    <w:rsid w:val="750D5EFA"/>
    <w:rsid w:val="75423EFA"/>
    <w:rsid w:val="762A36D2"/>
    <w:rsid w:val="763E4F09"/>
    <w:rsid w:val="768D3A10"/>
    <w:rsid w:val="76A11596"/>
    <w:rsid w:val="76E01BD0"/>
    <w:rsid w:val="76F175C9"/>
    <w:rsid w:val="771C0A86"/>
    <w:rsid w:val="776E0EB2"/>
    <w:rsid w:val="778D146E"/>
    <w:rsid w:val="77DA7CB6"/>
    <w:rsid w:val="77FD6D97"/>
    <w:rsid w:val="78003666"/>
    <w:rsid w:val="786A61CC"/>
    <w:rsid w:val="787B2109"/>
    <w:rsid w:val="78EC6373"/>
    <w:rsid w:val="7956631B"/>
    <w:rsid w:val="79596EE4"/>
    <w:rsid w:val="79916DA9"/>
    <w:rsid w:val="7A004CCC"/>
    <w:rsid w:val="7A0146E4"/>
    <w:rsid w:val="7A085B6F"/>
    <w:rsid w:val="7A150EE0"/>
    <w:rsid w:val="7A7754E5"/>
    <w:rsid w:val="7AF860F6"/>
    <w:rsid w:val="7B127FEB"/>
    <w:rsid w:val="7B674BA9"/>
    <w:rsid w:val="7B9C16D2"/>
    <w:rsid w:val="7BBD13BB"/>
    <w:rsid w:val="7BED1745"/>
    <w:rsid w:val="7C1065BC"/>
    <w:rsid w:val="7CB5237A"/>
    <w:rsid w:val="7CBE4AB0"/>
    <w:rsid w:val="7CD46FE8"/>
    <w:rsid w:val="7CD913F3"/>
    <w:rsid w:val="7CDE2BC9"/>
    <w:rsid w:val="7CF332CA"/>
    <w:rsid w:val="7D103ABE"/>
    <w:rsid w:val="7D196581"/>
    <w:rsid w:val="7DA87C9A"/>
    <w:rsid w:val="7E5F1CD9"/>
    <w:rsid w:val="7E796712"/>
    <w:rsid w:val="7E812384"/>
    <w:rsid w:val="7E925302"/>
    <w:rsid w:val="7EC336C2"/>
    <w:rsid w:val="7EDD73B9"/>
    <w:rsid w:val="7EFB2D5F"/>
    <w:rsid w:val="7F035BB4"/>
    <w:rsid w:val="7F26590E"/>
    <w:rsid w:val="7F594002"/>
    <w:rsid w:val="7F773E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4"/>
    <w:qFormat/>
    <w:uiPriority w:val="99"/>
    <w:pPr>
      <w:keepNext/>
      <w:widowControl/>
      <w:numPr>
        <w:ilvl w:val="0"/>
        <w:numId w:val="1"/>
      </w:numPr>
      <w:jc w:val="center"/>
      <w:outlineLvl w:val="0"/>
    </w:pPr>
    <w:rPr>
      <w:rFonts w:ascii="黑体" w:eastAsia="黑体"/>
      <w:sz w:val="52"/>
    </w:rPr>
  </w:style>
  <w:style w:type="paragraph" w:styleId="5">
    <w:name w:val="heading 2"/>
    <w:basedOn w:val="1"/>
    <w:next w:val="6"/>
    <w:link w:val="48"/>
    <w:qFormat/>
    <w:uiPriority w:val="99"/>
    <w:pPr>
      <w:keepNext/>
      <w:keepLines/>
      <w:widowControl/>
      <w:spacing w:before="260" w:after="260" w:line="413" w:lineRule="auto"/>
      <w:jc w:val="center"/>
      <w:outlineLvl w:val="1"/>
    </w:pPr>
    <w:rPr>
      <w:rFonts w:ascii="Arial" w:hAnsi="Arial" w:eastAsia="黑体"/>
      <w:b/>
      <w:sz w:val="36"/>
    </w:rPr>
  </w:style>
  <w:style w:type="paragraph" w:styleId="7">
    <w:name w:val="heading 3"/>
    <w:basedOn w:val="1"/>
    <w:next w:val="6"/>
    <w:link w:val="55"/>
    <w:qFormat/>
    <w:uiPriority w:val="99"/>
    <w:pPr>
      <w:keepNext/>
      <w:keepLines/>
      <w:widowControl/>
      <w:numPr>
        <w:ilvl w:val="2"/>
        <w:numId w:val="1"/>
      </w:numPr>
      <w:spacing w:before="120" w:after="120" w:line="360" w:lineRule="auto"/>
      <w:jc w:val="center"/>
      <w:outlineLvl w:val="2"/>
    </w:pPr>
    <w:rPr>
      <w:b/>
      <w:sz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sz w:val="28"/>
    </w:rPr>
  </w:style>
  <w:style w:type="paragraph" w:styleId="9">
    <w:name w:val="heading 5"/>
    <w:basedOn w:val="1"/>
    <w:next w:val="1"/>
    <w:link w:val="61"/>
    <w:qFormat/>
    <w:uiPriority w:val="99"/>
    <w:pPr>
      <w:keepNext/>
      <w:keepLines/>
      <w:widowControl/>
      <w:spacing w:before="120" w:after="120" w:line="360" w:lineRule="auto"/>
      <w:ind w:firstLine="499"/>
      <w:jc w:val="left"/>
      <w:outlineLvl w:val="4"/>
    </w:pPr>
    <w:rPr>
      <w:rFonts w:hAnsi="宋体"/>
      <w:b/>
      <w:sz w:val="24"/>
    </w:rPr>
  </w:style>
  <w:style w:type="paragraph" w:styleId="10">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sz w:val="24"/>
    </w:rPr>
  </w:style>
  <w:style w:type="paragraph" w:styleId="11">
    <w:name w:val="heading 7"/>
    <w:basedOn w:val="1"/>
    <w:next w:val="1"/>
    <w:qFormat/>
    <w:uiPriority w:val="0"/>
    <w:pPr>
      <w:keepNext/>
      <w:keepLines/>
      <w:widowControl/>
      <w:numPr>
        <w:ilvl w:val="6"/>
        <w:numId w:val="1"/>
      </w:numPr>
      <w:spacing w:before="240" w:after="64" w:line="317" w:lineRule="auto"/>
      <w:jc w:val="left"/>
      <w:outlineLvl w:val="6"/>
    </w:pPr>
    <w:rPr>
      <w:b/>
      <w:sz w:val="24"/>
    </w:rPr>
  </w:style>
  <w:style w:type="paragraph" w:styleId="12">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sz w:val="24"/>
    </w:rPr>
  </w:style>
  <w:style w:type="paragraph" w:styleId="13">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rPr>
  </w:style>
  <w:style w:type="character" w:default="1" w:styleId="37">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200" w:firstLine="200" w:firstLineChars="200"/>
    </w:pPr>
  </w:style>
  <w:style w:type="paragraph" w:styleId="3">
    <w:name w:val="Body Text Indent"/>
    <w:basedOn w:val="1"/>
    <w:link w:val="63"/>
    <w:qFormat/>
    <w:uiPriority w:val="99"/>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6">
    <w:name w:val="Normal Indent"/>
    <w:basedOn w:val="1"/>
    <w:qFormat/>
    <w:uiPriority w:val="0"/>
    <w:pPr>
      <w:ind w:firstLine="420" w:firstLineChars="200"/>
    </w:pPr>
  </w:style>
  <w:style w:type="paragraph" w:styleId="14">
    <w:name w:val="Note Heading"/>
    <w:basedOn w:val="1"/>
    <w:next w:val="1"/>
    <w:qFormat/>
    <w:uiPriority w:val="0"/>
    <w:pPr>
      <w:jc w:val="center"/>
    </w:pPr>
  </w:style>
  <w:style w:type="paragraph" w:styleId="15">
    <w:name w:val="Document Map"/>
    <w:basedOn w:val="1"/>
    <w:link w:val="57"/>
    <w:qFormat/>
    <w:uiPriority w:val="99"/>
    <w:pPr>
      <w:shd w:val="clear" w:color="auto" w:fill="000080"/>
    </w:pPr>
  </w:style>
  <w:style w:type="paragraph" w:styleId="16">
    <w:name w:val="annotation text"/>
    <w:basedOn w:val="1"/>
    <w:link w:val="60"/>
    <w:qFormat/>
    <w:uiPriority w:val="0"/>
    <w:pPr>
      <w:adjustRightInd w:val="0"/>
      <w:spacing w:line="360" w:lineRule="atLeast"/>
      <w:jc w:val="left"/>
      <w:textAlignment w:val="baseline"/>
    </w:pPr>
    <w:rPr>
      <w:sz w:val="24"/>
    </w:rPr>
  </w:style>
  <w:style w:type="paragraph" w:styleId="17">
    <w:name w:val="Body Text 3"/>
    <w:basedOn w:val="1"/>
    <w:link w:val="53"/>
    <w:qFormat/>
    <w:uiPriority w:val="0"/>
    <w:pPr>
      <w:spacing w:after="120"/>
    </w:pPr>
    <w:rPr>
      <w:sz w:val="16"/>
      <w:szCs w:val="16"/>
    </w:rPr>
  </w:style>
  <w:style w:type="paragraph" w:styleId="18">
    <w:name w:val="Body Text"/>
    <w:basedOn w:val="1"/>
    <w:link w:val="54"/>
    <w:qFormat/>
    <w:uiPriority w:val="99"/>
    <w:pPr>
      <w:spacing w:line="0" w:lineRule="atLeast"/>
    </w:pPr>
    <w:rPr>
      <w:sz w:val="30"/>
    </w:rPr>
  </w:style>
  <w:style w:type="paragraph" w:styleId="19">
    <w:name w:val="Block Text"/>
    <w:basedOn w:val="1"/>
    <w:qFormat/>
    <w:uiPriority w:val="0"/>
    <w:pPr>
      <w:adjustRightInd w:val="0"/>
      <w:ind w:left="420" w:right="33"/>
      <w:jc w:val="left"/>
      <w:textAlignment w:val="baseline"/>
    </w:pPr>
    <w:rPr>
      <w:sz w:val="24"/>
    </w:rPr>
  </w:style>
  <w:style w:type="paragraph" w:styleId="20">
    <w:name w:val="toc 3"/>
    <w:basedOn w:val="1"/>
    <w:next w:val="1"/>
    <w:qFormat/>
    <w:uiPriority w:val="0"/>
    <w:pPr>
      <w:widowControl/>
      <w:ind w:left="400" w:right="255"/>
    </w:pPr>
    <w:rPr>
      <w:sz w:val="24"/>
    </w:rPr>
  </w:style>
  <w:style w:type="paragraph" w:styleId="21">
    <w:name w:val="Plain Text"/>
    <w:basedOn w:val="1"/>
    <w:link w:val="56"/>
    <w:qFormat/>
    <w:uiPriority w:val="99"/>
    <w:rPr>
      <w:rFonts w:hAnsi="Courier New"/>
    </w:rPr>
  </w:style>
  <w:style w:type="paragraph" w:styleId="22">
    <w:name w:val="Date"/>
    <w:basedOn w:val="1"/>
    <w:next w:val="1"/>
    <w:link w:val="52"/>
    <w:qFormat/>
    <w:uiPriority w:val="99"/>
    <w:rPr>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styleId="24">
    <w:name w:val="Balloon Text"/>
    <w:basedOn w:val="1"/>
    <w:link w:val="58"/>
    <w:qFormat/>
    <w:uiPriority w:val="99"/>
    <w:rPr>
      <w:sz w:val="18"/>
      <w:szCs w:val="18"/>
    </w:rPr>
  </w:style>
  <w:style w:type="paragraph" w:styleId="25">
    <w:name w:val="footer"/>
    <w:basedOn w:val="1"/>
    <w:link w:val="46"/>
    <w:qFormat/>
    <w:uiPriority w:val="99"/>
    <w:pPr>
      <w:widowControl/>
      <w:tabs>
        <w:tab w:val="center" w:pos="4153"/>
        <w:tab w:val="right" w:pos="8306"/>
      </w:tabs>
      <w:snapToGrid w:val="0"/>
      <w:jc w:val="left"/>
    </w:pPr>
    <w:rPr>
      <w:sz w:val="18"/>
    </w:rPr>
  </w:style>
  <w:style w:type="paragraph" w:styleId="26">
    <w:name w:val="header"/>
    <w:basedOn w:val="1"/>
    <w:link w:val="49"/>
    <w:qFormat/>
    <w:uiPriority w:val="99"/>
    <w:pPr>
      <w:widowControl/>
      <w:pBdr>
        <w:bottom w:val="single" w:color="auto" w:sz="6" w:space="1"/>
      </w:pBdr>
      <w:tabs>
        <w:tab w:val="center" w:pos="4153"/>
        <w:tab w:val="right" w:pos="8306"/>
      </w:tabs>
      <w:snapToGrid w:val="0"/>
      <w:jc w:val="center"/>
    </w:pPr>
    <w:rPr>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sz w:val="52"/>
    </w:rPr>
  </w:style>
  <w:style w:type="paragraph" w:styleId="30">
    <w:name w:val="footnote text"/>
    <w:basedOn w:val="1"/>
    <w:link w:val="62"/>
    <w:qFormat/>
    <w:uiPriority w:val="99"/>
    <w:pPr>
      <w:snapToGrid w:val="0"/>
      <w:jc w:val="left"/>
    </w:pPr>
    <w:rPr>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32">
    <w:name w:val="Body Text 2"/>
    <w:basedOn w:val="1"/>
    <w:link w:val="51"/>
    <w:qFormat/>
    <w:uiPriority w:val="99"/>
    <w:rPr>
      <w:sz w:val="28"/>
    </w:rPr>
  </w:style>
  <w:style w:type="paragraph" w:styleId="33">
    <w:name w:val="Normal (Web)"/>
    <w:basedOn w:val="1"/>
    <w:qFormat/>
    <w:uiPriority w:val="99"/>
    <w:pPr>
      <w:widowControl/>
      <w:spacing w:before="100" w:beforeAutospacing="1" w:after="100" w:afterAutospacing="1"/>
      <w:jc w:val="left"/>
    </w:pPr>
    <w:rPr>
      <w:rFonts w:hAnsi="宋体" w:cs="宋体"/>
      <w:sz w:val="24"/>
      <w:szCs w:val="24"/>
    </w:rPr>
  </w:style>
  <w:style w:type="paragraph" w:styleId="34">
    <w:name w:val="annotation subject"/>
    <w:basedOn w:val="16"/>
    <w:next w:val="16"/>
    <w:link w:val="47"/>
    <w:qFormat/>
    <w:uiPriority w:val="0"/>
    <w:pPr>
      <w:adjustRightInd/>
      <w:spacing w:line="240" w:lineRule="auto"/>
      <w:textAlignment w:val="auto"/>
    </w:pPr>
    <w:rPr>
      <w:b/>
      <w:bCs/>
      <w:kern w:val="2"/>
      <w:sz w:val="21"/>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page number"/>
    <w:basedOn w:val="37"/>
    <w:qFormat/>
    <w:uiPriority w:val="99"/>
  </w:style>
  <w:style w:type="character" w:styleId="40">
    <w:name w:val="FollowedHyperlink"/>
    <w:qFormat/>
    <w:uiPriority w:val="0"/>
    <w:rPr>
      <w:color w:val="000000"/>
      <w:u w:val="single"/>
    </w:rPr>
  </w:style>
  <w:style w:type="character" w:styleId="41">
    <w:name w:val="Hyperlink"/>
    <w:basedOn w:val="37"/>
    <w:qFormat/>
    <w:uiPriority w:val="0"/>
    <w:rPr>
      <w:color w:val="051970"/>
      <w:u w:val="single"/>
    </w:rPr>
  </w:style>
  <w:style w:type="character" w:styleId="42">
    <w:name w:val="annotation reference"/>
    <w:qFormat/>
    <w:uiPriority w:val="0"/>
    <w:rPr>
      <w:sz w:val="21"/>
      <w:szCs w:val="21"/>
    </w:rPr>
  </w:style>
  <w:style w:type="character" w:styleId="43">
    <w:name w:val="footnote reference"/>
    <w:qFormat/>
    <w:uiPriority w:val="99"/>
    <w:rPr>
      <w:vertAlign w:val="superscript"/>
    </w:rPr>
  </w:style>
  <w:style w:type="character" w:customStyle="1" w:styleId="44">
    <w:name w:val="标题 1 Char"/>
    <w:link w:val="4"/>
    <w:qFormat/>
    <w:locked/>
    <w:uiPriority w:val="99"/>
    <w:rPr>
      <w:rFonts w:ascii="黑体" w:eastAsia="黑体"/>
      <w:sz w:val="52"/>
    </w:rPr>
  </w:style>
  <w:style w:type="character" w:customStyle="1" w:styleId="45">
    <w:name w:val="textcontents"/>
    <w:basedOn w:val="37"/>
    <w:qFormat/>
    <w:uiPriority w:val="99"/>
  </w:style>
  <w:style w:type="character" w:customStyle="1" w:styleId="46">
    <w:name w:val="页脚 Char"/>
    <w:link w:val="25"/>
    <w:qFormat/>
    <w:uiPriority w:val="99"/>
    <w:rPr>
      <w:sz w:val="18"/>
    </w:rPr>
  </w:style>
  <w:style w:type="character" w:customStyle="1" w:styleId="47">
    <w:name w:val="批注主题 Char"/>
    <w:link w:val="34"/>
    <w:qFormat/>
    <w:uiPriority w:val="0"/>
    <w:rPr>
      <w:b/>
      <w:bCs/>
      <w:kern w:val="2"/>
      <w:sz w:val="21"/>
    </w:rPr>
  </w:style>
  <w:style w:type="character" w:customStyle="1" w:styleId="48">
    <w:name w:val="标题 2 Char"/>
    <w:link w:val="5"/>
    <w:qFormat/>
    <w:locked/>
    <w:uiPriority w:val="99"/>
    <w:rPr>
      <w:rFonts w:ascii="Arial" w:hAnsi="Arial" w:eastAsia="黑体"/>
      <w:b/>
      <w:sz w:val="36"/>
    </w:rPr>
  </w:style>
  <w:style w:type="character" w:customStyle="1" w:styleId="49">
    <w:name w:val="页眉 Char"/>
    <w:link w:val="26"/>
    <w:qFormat/>
    <w:locked/>
    <w:uiPriority w:val="99"/>
    <w:rPr>
      <w:sz w:val="18"/>
    </w:rPr>
  </w:style>
  <w:style w:type="character" w:customStyle="1" w:styleId="50">
    <w:name w:val="font31"/>
    <w:qFormat/>
    <w:uiPriority w:val="0"/>
    <w:rPr>
      <w:rFonts w:hint="eastAsia" w:ascii="宋体" w:hAnsi="宋体" w:eastAsia="宋体" w:cs="宋体"/>
      <w:color w:val="000000"/>
      <w:sz w:val="22"/>
      <w:szCs w:val="22"/>
      <w:u w:val="none"/>
    </w:rPr>
  </w:style>
  <w:style w:type="character" w:customStyle="1" w:styleId="51">
    <w:name w:val="正文文本 2 Char"/>
    <w:link w:val="32"/>
    <w:qFormat/>
    <w:uiPriority w:val="99"/>
    <w:rPr>
      <w:kern w:val="2"/>
      <w:sz w:val="28"/>
    </w:rPr>
  </w:style>
  <w:style w:type="character" w:customStyle="1" w:styleId="52">
    <w:name w:val="日期 Char"/>
    <w:link w:val="22"/>
    <w:qFormat/>
    <w:locked/>
    <w:uiPriority w:val="99"/>
    <w:rPr>
      <w:kern w:val="2"/>
      <w:sz w:val="24"/>
    </w:rPr>
  </w:style>
  <w:style w:type="character" w:customStyle="1" w:styleId="53">
    <w:name w:val="正文文本 3 Char"/>
    <w:link w:val="17"/>
    <w:qFormat/>
    <w:uiPriority w:val="0"/>
    <w:rPr>
      <w:kern w:val="2"/>
      <w:sz w:val="16"/>
      <w:szCs w:val="16"/>
    </w:rPr>
  </w:style>
  <w:style w:type="character" w:customStyle="1" w:styleId="54">
    <w:name w:val="正文文本 Char"/>
    <w:link w:val="18"/>
    <w:qFormat/>
    <w:uiPriority w:val="99"/>
    <w:rPr>
      <w:kern w:val="2"/>
      <w:sz w:val="30"/>
    </w:rPr>
  </w:style>
  <w:style w:type="character" w:customStyle="1" w:styleId="55">
    <w:name w:val="标题 3 Char"/>
    <w:link w:val="7"/>
    <w:qFormat/>
    <w:locked/>
    <w:uiPriority w:val="99"/>
    <w:rPr>
      <w:b/>
      <w:sz w:val="32"/>
    </w:rPr>
  </w:style>
  <w:style w:type="character" w:customStyle="1" w:styleId="56">
    <w:name w:val="纯文本 Char"/>
    <w:link w:val="21"/>
    <w:qFormat/>
    <w:locked/>
    <w:uiPriority w:val="99"/>
    <w:rPr>
      <w:rFonts w:ascii="宋体" w:hAnsi="Courier New"/>
      <w:kern w:val="2"/>
      <w:sz w:val="21"/>
    </w:rPr>
  </w:style>
  <w:style w:type="character" w:customStyle="1" w:styleId="57">
    <w:name w:val="文档结构图 Char"/>
    <w:link w:val="15"/>
    <w:qFormat/>
    <w:uiPriority w:val="99"/>
    <w:rPr>
      <w:kern w:val="2"/>
      <w:sz w:val="21"/>
      <w:shd w:val="clear" w:color="auto" w:fill="000080"/>
    </w:rPr>
  </w:style>
  <w:style w:type="character" w:customStyle="1" w:styleId="58">
    <w:name w:val="批注框文本 Char"/>
    <w:link w:val="24"/>
    <w:qFormat/>
    <w:uiPriority w:val="99"/>
    <w:rPr>
      <w:kern w:val="2"/>
      <w:sz w:val="18"/>
      <w:szCs w:val="18"/>
    </w:rPr>
  </w:style>
  <w:style w:type="character" w:customStyle="1" w:styleId="59">
    <w:name w:val="Para head"/>
    <w:qFormat/>
    <w:uiPriority w:val="0"/>
    <w:rPr>
      <w:rFonts w:ascii="Arial" w:hAnsi="Arial" w:eastAsia="Times New Roman"/>
      <w:sz w:val="20"/>
    </w:rPr>
  </w:style>
  <w:style w:type="character" w:customStyle="1" w:styleId="60">
    <w:name w:val="批注文字 Char"/>
    <w:link w:val="16"/>
    <w:qFormat/>
    <w:uiPriority w:val="0"/>
    <w:rPr>
      <w:sz w:val="24"/>
    </w:rPr>
  </w:style>
  <w:style w:type="character" w:customStyle="1" w:styleId="61">
    <w:name w:val="标题 5 Char"/>
    <w:link w:val="9"/>
    <w:qFormat/>
    <w:locked/>
    <w:uiPriority w:val="99"/>
    <w:rPr>
      <w:rFonts w:ascii="宋体" w:hAnsi="宋体"/>
      <w:b/>
      <w:sz w:val="24"/>
    </w:rPr>
  </w:style>
  <w:style w:type="character" w:customStyle="1" w:styleId="62">
    <w:name w:val="脚注文本 Char"/>
    <w:link w:val="30"/>
    <w:qFormat/>
    <w:uiPriority w:val="99"/>
    <w:rPr>
      <w:kern w:val="2"/>
      <w:sz w:val="18"/>
    </w:rPr>
  </w:style>
  <w:style w:type="character" w:customStyle="1" w:styleId="63">
    <w:name w:val="正文文本缩进 Char"/>
    <w:link w:val="3"/>
    <w:qFormat/>
    <w:locked/>
    <w:uiPriority w:val="99"/>
    <w:rPr>
      <w:rFonts w:ascii="宋体" w:hAnsi="MS Sans Serif"/>
      <w:spacing w:val="12"/>
      <w:sz w:val="24"/>
    </w:rPr>
  </w:style>
  <w:style w:type="paragraph" w:customStyle="1" w:styleId="6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5">
    <w:name w:val="菲页1"/>
    <w:basedOn w:val="5"/>
    <w:qFormat/>
    <w:uiPriority w:val="0"/>
    <w:rPr>
      <w:rFonts w:ascii="黑体" w:hAnsi="宋体"/>
      <w:b w:val="0"/>
      <w:sz w:val="52"/>
    </w:rPr>
  </w:style>
  <w:style w:type="paragraph" w:customStyle="1" w:styleId="66">
    <w:name w:val="目录"/>
    <w:basedOn w:val="1"/>
    <w:qFormat/>
    <w:uiPriority w:val="0"/>
    <w:pPr>
      <w:widowControl/>
      <w:jc w:val="center"/>
    </w:pPr>
    <w:rPr>
      <w:b/>
      <w:sz w:val="36"/>
    </w:rPr>
  </w:style>
  <w:style w:type="paragraph" w:customStyle="1" w:styleId="67">
    <w:name w:val="样式1"/>
    <w:basedOn w:val="1"/>
    <w:qFormat/>
    <w:uiPriority w:val="0"/>
    <w:pPr>
      <w:spacing w:before="120" w:after="120" w:line="300" w:lineRule="auto"/>
    </w:pPr>
    <w:rPr>
      <w:rFonts w:hAnsi="宋体"/>
      <w:b/>
      <w:sz w:val="24"/>
    </w:rPr>
  </w:style>
  <w:style w:type="paragraph" w:customStyle="1" w:styleId="6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69">
    <w:name w:val="Char Char Char Char"/>
    <w:basedOn w:val="1"/>
    <w:qFormat/>
    <w:uiPriority w:val="0"/>
    <w:pPr>
      <w:widowControl/>
      <w:spacing w:after="160" w:line="240" w:lineRule="exact"/>
      <w:jc w:val="left"/>
    </w:pPr>
    <w:rPr>
      <w:szCs w:val="24"/>
    </w:rPr>
  </w:style>
  <w:style w:type="paragraph" w:customStyle="1" w:styleId="70">
    <w:name w:val="菲页2"/>
    <w:basedOn w:val="7"/>
    <w:qFormat/>
    <w:uiPriority w:val="0"/>
    <w:pPr>
      <w:numPr>
        <w:numId w:val="2"/>
      </w:numPr>
      <w:tabs>
        <w:tab w:val="left" w:pos="1475"/>
      </w:tabs>
    </w:pPr>
    <w:rPr>
      <w:rFonts w:ascii="黑体" w:hAnsi="宋体" w:eastAsia="黑体"/>
      <w:b w:val="0"/>
      <w:sz w:val="44"/>
    </w:rPr>
  </w:style>
  <w:style w:type="paragraph" w:customStyle="1" w:styleId="71">
    <w:name w:val="菲页(卷)"/>
    <w:basedOn w:val="4"/>
    <w:next w:val="64"/>
    <w:qFormat/>
    <w:uiPriority w:val="0"/>
    <w:pPr>
      <w:numPr>
        <w:numId w:val="2"/>
      </w:numPr>
      <w:tabs>
        <w:tab w:val="left" w:pos="1475"/>
      </w:tabs>
      <w:outlineLvl w:val="1"/>
    </w:pPr>
  </w:style>
  <w:style w:type="paragraph" w:customStyle="1" w:styleId="72">
    <w:name w:val="目录文字"/>
    <w:basedOn w:val="1"/>
    <w:qFormat/>
    <w:uiPriority w:val="0"/>
    <w:pPr>
      <w:widowControl/>
      <w:spacing w:line="480" w:lineRule="auto"/>
      <w:jc w:val="left"/>
    </w:pPr>
    <w:rPr>
      <w:rFonts w:hAnsi="宋体"/>
      <w:sz w:val="24"/>
    </w:rPr>
  </w:style>
  <w:style w:type="paragraph" w:styleId="7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6D100-02FE-4B36-861B-9D7D2237D40B}">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31</Pages>
  <Words>2550</Words>
  <Characters>14539</Characters>
  <Lines>121</Lines>
  <Paragraphs>34</Paragraphs>
  <TotalTime>18</TotalTime>
  <ScaleCrop>false</ScaleCrop>
  <LinksUpToDate>false</LinksUpToDate>
  <CharactersWithSpaces>17055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2019-03-18T09:06:00Z</dcterms:created>
  <dc:creator>123</dc:creator>
  <cp:lastModifiedBy>H.X</cp:lastModifiedBy>
  <cp:lastPrinted>2019-03-18T02:17:00Z</cp:lastPrinted>
  <dcterms:modified xsi:type="dcterms:W3CDTF">2020-07-03T06:41:42Z</dcterms:modified>
  <dc:title>123</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